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DEA7B" w14:textId="2D820E7F" w:rsidR="00244E30" w:rsidRPr="008711E4" w:rsidRDefault="00244E30" w:rsidP="008711E4">
      <w:pPr>
        <w:jc w:val="center"/>
        <w:rPr>
          <w:rFonts w:ascii="Calibri" w:hAnsi="Calibri" w:cs="Calibri"/>
          <w:b/>
          <w:bCs/>
          <w:sz w:val="24"/>
          <w:szCs w:val="24"/>
        </w:rPr>
      </w:pPr>
      <w:r w:rsidRPr="008711E4">
        <w:rPr>
          <w:rFonts w:ascii="Calibri" w:hAnsi="Calibri" w:cs="Calibri"/>
          <w:b/>
          <w:bCs/>
          <w:sz w:val="24"/>
          <w:szCs w:val="24"/>
        </w:rPr>
        <w:t>AL VICECONSEJERO/A DE MEDIO AMBIENTE, AGRICULTURA Y ORDENACIÓN DEL TERRITORIO DE LA COMUNIDAD DE MADRID</w:t>
      </w:r>
    </w:p>
    <w:p w14:paraId="5E10F7FF" w14:textId="77777777" w:rsidR="008711E4" w:rsidRPr="008711E4" w:rsidRDefault="008711E4" w:rsidP="008711E4">
      <w:pPr>
        <w:jc w:val="center"/>
        <w:rPr>
          <w:rFonts w:ascii="Calibri" w:hAnsi="Calibri" w:cs="Calibri"/>
          <w:b/>
          <w:bCs/>
          <w:sz w:val="24"/>
          <w:szCs w:val="24"/>
        </w:rPr>
      </w:pPr>
    </w:p>
    <w:p w14:paraId="1A795D68" w14:textId="710F7978" w:rsidR="00244E30" w:rsidRPr="008711E4" w:rsidRDefault="00244E30" w:rsidP="00244E30">
      <w:pPr>
        <w:jc w:val="both"/>
        <w:rPr>
          <w:rFonts w:ascii="Calibri" w:hAnsi="Calibri" w:cs="Calibri"/>
          <w:sz w:val="24"/>
          <w:szCs w:val="24"/>
        </w:rPr>
      </w:pPr>
      <w:r w:rsidRPr="008711E4">
        <w:rPr>
          <w:rFonts w:ascii="Calibri" w:hAnsi="Calibri" w:cs="Calibri"/>
          <w:b/>
          <w:bCs/>
          <w:sz w:val="24"/>
          <w:szCs w:val="24"/>
        </w:rPr>
        <w:t>D./Dª</w:t>
      </w:r>
      <w:r w:rsidRPr="008711E4">
        <w:rPr>
          <w:rFonts w:ascii="Calibri" w:hAnsi="Calibri" w:cs="Calibri"/>
          <w:sz w:val="24"/>
          <w:szCs w:val="24"/>
        </w:rPr>
        <w:t xml:space="preserve"> …………………………………………………………</w:t>
      </w:r>
      <w:proofErr w:type="gramStart"/>
      <w:r w:rsidRPr="008711E4">
        <w:rPr>
          <w:rFonts w:ascii="Calibri" w:hAnsi="Calibri" w:cs="Calibri"/>
          <w:sz w:val="24"/>
          <w:szCs w:val="24"/>
        </w:rPr>
        <w:t>…….</w:t>
      </w:r>
      <w:proofErr w:type="gramEnd"/>
      <w:r w:rsidRPr="008711E4">
        <w:rPr>
          <w:rFonts w:ascii="Calibri" w:hAnsi="Calibri" w:cs="Calibri"/>
          <w:sz w:val="24"/>
          <w:szCs w:val="24"/>
        </w:rPr>
        <w:t>…</w:t>
      </w:r>
      <w:proofErr w:type="gramStart"/>
      <w:r w:rsidRPr="008711E4">
        <w:rPr>
          <w:rFonts w:ascii="Calibri" w:hAnsi="Calibri" w:cs="Calibri"/>
          <w:sz w:val="24"/>
          <w:szCs w:val="24"/>
        </w:rPr>
        <w:t>…….</w:t>
      </w:r>
      <w:proofErr w:type="gramEnd"/>
      <w:r w:rsidRPr="008711E4">
        <w:rPr>
          <w:rFonts w:ascii="Calibri" w:hAnsi="Calibri" w:cs="Calibri"/>
          <w:sz w:val="24"/>
          <w:szCs w:val="24"/>
        </w:rPr>
        <w:t>, con DNI/NIE ……………………………</w:t>
      </w:r>
      <w:proofErr w:type="gramStart"/>
      <w:r w:rsidRPr="008711E4">
        <w:rPr>
          <w:rFonts w:ascii="Calibri" w:hAnsi="Calibri" w:cs="Calibri"/>
          <w:sz w:val="24"/>
          <w:szCs w:val="24"/>
        </w:rPr>
        <w:t>…….</w:t>
      </w:r>
      <w:proofErr w:type="gramEnd"/>
      <w:r w:rsidRPr="008711E4">
        <w:rPr>
          <w:rFonts w:ascii="Calibri" w:hAnsi="Calibri" w:cs="Calibri"/>
          <w:sz w:val="24"/>
          <w:szCs w:val="24"/>
        </w:rPr>
        <w:t>, y domicilio a efectos de notificaciones en …………………………………………………</w:t>
      </w:r>
      <w:r w:rsidR="008711E4" w:rsidRPr="008711E4">
        <w:rPr>
          <w:rFonts w:ascii="Calibri" w:hAnsi="Calibri" w:cs="Calibri"/>
          <w:sz w:val="24"/>
          <w:szCs w:val="24"/>
        </w:rPr>
        <w:t>……………</w:t>
      </w:r>
      <w:r w:rsidRPr="008711E4">
        <w:rPr>
          <w:rFonts w:ascii="Calibri" w:hAnsi="Calibri" w:cs="Calibri"/>
          <w:sz w:val="24"/>
          <w:szCs w:val="24"/>
        </w:rPr>
        <w:t>, Sector …</w:t>
      </w:r>
      <w:r w:rsidR="008711E4" w:rsidRPr="008711E4">
        <w:rPr>
          <w:rFonts w:ascii="Calibri" w:hAnsi="Calibri" w:cs="Calibri"/>
          <w:sz w:val="24"/>
          <w:szCs w:val="24"/>
        </w:rPr>
        <w:t>.</w:t>
      </w:r>
      <w:r w:rsidRPr="008711E4">
        <w:rPr>
          <w:rFonts w:ascii="Calibri" w:hAnsi="Calibri" w:cs="Calibri"/>
          <w:sz w:val="24"/>
          <w:szCs w:val="24"/>
        </w:rPr>
        <w:t xml:space="preserve"> de Cañada Real Galiana, y correo electrónico ………………</w:t>
      </w:r>
      <w:r w:rsidR="008711E4" w:rsidRPr="008711E4">
        <w:rPr>
          <w:rFonts w:ascii="Calibri" w:hAnsi="Calibri" w:cs="Calibri"/>
          <w:sz w:val="24"/>
          <w:szCs w:val="24"/>
        </w:rPr>
        <w:t>……………</w:t>
      </w:r>
      <w:r w:rsidRPr="008711E4">
        <w:rPr>
          <w:rFonts w:ascii="Calibri" w:hAnsi="Calibri" w:cs="Calibri"/>
          <w:sz w:val="24"/>
          <w:szCs w:val="24"/>
        </w:rPr>
        <w:t>,</w:t>
      </w:r>
    </w:p>
    <w:p w14:paraId="05CAE3A3" w14:textId="77777777" w:rsidR="008711E4" w:rsidRPr="008711E4" w:rsidRDefault="008711E4" w:rsidP="00244E30">
      <w:pPr>
        <w:jc w:val="both"/>
        <w:rPr>
          <w:rFonts w:ascii="Calibri" w:hAnsi="Calibri" w:cs="Calibri"/>
          <w:sz w:val="24"/>
          <w:szCs w:val="24"/>
        </w:rPr>
      </w:pPr>
    </w:p>
    <w:p w14:paraId="705F3A87" w14:textId="4C9FE787" w:rsidR="00244E30" w:rsidRPr="008711E4" w:rsidRDefault="00244E30" w:rsidP="008711E4">
      <w:pPr>
        <w:jc w:val="center"/>
        <w:rPr>
          <w:rFonts w:ascii="Calibri" w:hAnsi="Calibri" w:cs="Calibri"/>
          <w:b/>
          <w:bCs/>
          <w:sz w:val="24"/>
          <w:szCs w:val="24"/>
        </w:rPr>
      </w:pPr>
      <w:r w:rsidRPr="008711E4">
        <w:rPr>
          <w:rFonts w:ascii="Calibri" w:hAnsi="Calibri" w:cs="Calibri"/>
          <w:b/>
          <w:bCs/>
          <w:sz w:val="24"/>
          <w:szCs w:val="24"/>
        </w:rPr>
        <w:t>EXPONE</w:t>
      </w:r>
    </w:p>
    <w:p w14:paraId="10555351" w14:textId="77777777" w:rsidR="00244E30" w:rsidRPr="008711E4" w:rsidRDefault="00244E30" w:rsidP="00244E30">
      <w:pPr>
        <w:jc w:val="center"/>
        <w:rPr>
          <w:rFonts w:ascii="Calibri" w:hAnsi="Calibri" w:cs="Calibri"/>
          <w:b/>
          <w:bCs/>
          <w:sz w:val="24"/>
          <w:szCs w:val="24"/>
        </w:rPr>
      </w:pPr>
      <w:r w:rsidRPr="008711E4">
        <w:rPr>
          <w:rFonts w:ascii="Calibri" w:hAnsi="Calibri" w:cs="Calibri"/>
          <w:b/>
          <w:bCs/>
          <w:sz w:val="24"/>
          <w:szCs w:val="24"/>
        </w:rPr>
        <w:t>CONTRA LA RETIRADA DE LA INSTALACIÓN HISTÓRICA DE LUZ EN CAÑADA REAL</w:t>
      </w:r>
    </w:p>
    <w:p w14:paraId="641E377B" w14:textId="3719982E" w:rsidR="00244E30" w:rsidRPr="008711E4" w:rsidRDefault="008711E4" w:rsidP="00244E30">
      <w:pPr>
        <w:jc w:val="both"/>
        <w:rPr>
          <w:rFonts w:ascii="Calibri" w:hAnsi="Calibri" w:cs="Calibri"/>
          <w:sz w:val="24"/>
          <w:szCs w:val="24"/>
        </w:rPr>
      </w:pPr>
      <w:r>
        <w:rPr>
          <w:rFonts w:ascii="Calibri" w:hAnsi="Calibri" w:cs="Calibri"/>
          <w:b/>
          <w:bCs/>
          <w:sz w:val="24"/>
          <w:szCs w:val="24"/>
        </w:rPr>
        <w:t>1</w:t>
      </w:r>
      <w:r w:rsidR="00244E30" w:rsidRPr="008711E4">
        <w:rPr>
          <w:rFonts w:ascii="Calibri" w:hAnsi="Calibri" w:cs="Calibri"/>
          <w:b/>
          <w:bCs/>
          <w:sz w:val="24"/>
          <w:szCs w:val="24"/>
        </w:rPr>
        <w:t>.-</w:t>
      </w:r>
      <w:r w:rsidR="00244E30" w:rsidRPr="008711E4">
        <w:rPr>
          <w:rFonts w:ascii="Calibri" w:hAnsi="Calibri" w:cs="Calibri"/>
          <w:sz w:val="24"/>
          <w:szCs w:val="24"/>
        </w:rPr>
        <w:t xml:space="preserve"> El </w:t>
      </w:r>
      <w:r w:rsidR="008156D4" w:rsidRPr="008711E4">
        <w:rPr>
          <w:rFonts w:ascii="Calibri" w:hAnsi="Calibri" w:cs="Calibri"/>
          <w:sz w:val="24"/>
          <w:szCs w:val="24"/>
        </w:rPr>
        <w:t xml:space="preserve">viernes </w:t>
      </w:r>
      <w:r w:rsidR="00244E30" w:rsidRPr="008711E4">
        <w:rPr>
          <w:rFonts w:ascii="Calibri" w:hAnsi="Calibri" w:cs="Calibri"/>
          <w:sz w:val="24"/>
          <w:szCs w:val="24"/>
        </w:rPr>
        <w:t xml:space="preserve">12 de junio de 2026 </w:t>
      </w:r>
      <w:r w:rsidR="00244E30" w:rsidRPr="00A645D2">
        <w:rPr>
          <w:rFonts w:ascii="Calibri" w:hAnsi="Calibri" w:cs="Calibri"/>
          <w:b/>
          <w:bCs/>
          <w:sz w:val="24"/>
          <w:szCs w:val="24"/>
        </w:rPr>
        <w:t xml:space="preserve">se ha publicado en el BOCM </w:t>
      </w:r>
      <w:proofErr w:type="spellStart"/>
      <w:r w:rsidR="008156D4" w:rsidRPr="00A645D2">
        <w:rPr>
          <w:rFonts w:ascii="Calibri" w:hAnsi="Calibri" w:cs="Calibri"/>
          <w:b/>
          <w:bCs/>
          <w:sz w:val="24"/>
          <w:szCs w:val="24"/>
        </w:rPr>
        <w:t>nº</w:t>
      </w:r>
      <w:proofErr w:type="spellEnd"/>
      <w:r w:rsidR="008156D4" w:rsidRPr="00A645D2">
        <w:rPr>
          <w:rFonts w:ascii="Calibri" w:hAnsi="Calibri" w:cs="Calibri"/>
          <w:b/>
          <w:bCs/>
          <w:sz w:val="24"/>
          <w:szCs w:val="24"/>
        </w:rPr>
        <w:t xml:space="preserve"> 138 </w:t>
      </w:r>
      <w:r w:rsidR="00244E30" w:rsidRPr="00A645D2">
        <w:rPr>
          <w:rFonts w:ascii="Calibri" w:hAnsi="Calibri" w:cs="Calibri"/>
          <w:b/>
          <w:bCs/>
          <w:sz w:val="24"/>
          <w:szCs w:val="24"/>
        </w:rPr>
        <w:t xml:space="preserve">Resolución de la Dirección General de Transición Energética y Economía Circular en el expediente </w:t>
      </w:r>
      <w:proofErr w:type="spellStart"/>
      <w:r w:rsidR="00244E30" w:rsidRPr="00A645D2">
        <w:rPr>
          <w:rFonts w:ascii="Calibri" w:hAnsi="Calibri" w:cs="Calibri"/>
          <w:b/>
          <w:bCs/>
          <w:sz w:val="24"/>
          <w:szCs w:val="24"/>
        </w:rPr>
        <w:t>nº</w:t>
      </w:r>
      <w:proofErr w:type="spellEnd"/>
      <w:r w:rsidR="00244E30" w:rsidRPr="00A645D2">
        <w:rPr>
          <w:rFonts w:ascii="Calibri" w:hAnsi="Calibri" w:cs="Calibri"/>
          <w:b/>
          <w:bCs/>
          <w:sz w:val="24"/>
          <w:szCs w:val="24"/>
        </w:rPr>
        <w:t xml:space="preserve"> </w:t>
      </w:r>
      <w:r w:rsidR="00A645D2" w:rsidRPr="00A645D2">
        <w:rPr>
          <w:rFonts w:ascii="Calibri" w:hAnsi="Calibri" w:cs="Calibri"/>
          <w:b/>
          <w:bCs/>
          <w:sz w:val="24"/>
          <w:szCs w:val="24"/>
        </w:rPr>
        <w:t>2021P729</w:t>
      </w:r>
      <w:r w:rsidR="00244E30" w:rsidRPr="008711E4">
        <w:rPr>
          <w:rFonts w:ascii="Calibri" w:hAnsi="Calibri" w:cs="Calibri"/>
          <w:sz w:val="24"/>
          <w:szCs w:val="24"/>
        </w:rPr>
        <w:t xml:space="preserve">, por la que se concede autorización administrativa, aprobación del proyecto de ejecución y declaración de utilidad pública para líneas eléctricas y desmontaje de instalaciones históricas en el </w:t>
      </w:r>
      <w:r w:rsidR="00244E30" w:rsidRPr="00A645D2">
        <w:rPr>
          <w:rFonts w:ascii="Calibri" w:hAnsi="Calibri" w:cs="Calibri"/>
          <w:b/>
          <w:bCs/>
          <w:sz w:val="24"/>
          <w:szCs w:val="24"/>
        </w:rPr>
        <w:t xml:space="preserve">Sector </w:t>
      </w:r>
      <w:r w:rsidR="00A645D2" w:rsidRPr="00A645D2">
        <w:rPr>
          <w:rFonts w:ascii="Calibri" w:hAnsi="Calibri" w:cs="Calibri"/>
          <w:b/>
          <w:bCs/>
          <w:sz w:val="24"/>
          <w:szCs w:val="24"/>
        </w:rPr>
        <w:t>6</w:t>
      </w:r>
      <w:r w:rsidR="00244E30" w:rsidRPr="00A645D2">
        <w:rPr>
          <w:rFonts w:ascii="Calibri" w:hAnsi="Calibri" w:cs="Calibri"/>
          <w:b/>
          <w:bCs/>
          <w:sz w:val="24"/>
          <w:szCs w:val="24"/>
        </w:rPr>
        <w:t xml:space="preserve"> de la Cañada Real Galiana</w:t>
      </w:r>
      <w:r w:rsidR="00244E30" w:rsidRPr="008711E4">
        <w:rPr>
          <w:rFonts w:ascii="Calibri" w:hAnsi="Calibri" w:cs="Calibri"/>
          <w:sz w:val="24"/>
          <w:szCs w:val="24"/>
        </w:rPr>
        <w:t>, término municipal de Madrid, publicada en el Boletín Oficial de la Comunidad</w:t>
      </w:r>
      <w:r w:rsidR="00AE3B31" w:rsidRPr="008711E4">
        <w:rPr>
          <w:rFonts w:ascii="Calibri" w:hAnsi="Calibri" w:cs="Calibri"/>
          <w:sz w:val="24"/>
          <w:szCs w:val="24"/>
        </w:rPr>
        <w:t xml:space="preserve"> de Madrid</w:t>
      </w:r>
      <w:r w:rsidR="00244E30" w:rsidRPr="008711E4">
        <w:rPr>
          <w:rFonts w:ascii="Calibri" w:hAnsi="Calibri" w:cs="Calibri"/>
          <w:sz w:val="24"/>
          <w:szCs w:val="24"/>
        </w:rPr>
        <w:t>.</w:t>
      </w:r>
    </w:p>
    <w:p w14:paraId="76435640" w14:textId="564053E6" w:rsidR="00244E30" w:rsidRPr="008711E4" w:rsidRDefault="008711E4" w:rsidP="00244E30">
      <w:pPr>
        <w:jc w:val="both"/>
        <w:rPr>
          <w:rFonts w:ascii="Calibri" w:hAnsi="Calibri" w:cs="Calibri"/>
          <w:sz w:val="24"/>
          <w:szCs w:val="24"/>
        </w:rPr>
      </w:pPr>
      <w:r>
        <w:rPr>
          <w:rFonts w:ascii="Calibri" w:hAnsi="Calibri" w:cs="Calibri"/>
          <w:b/>
          <w:bCs/>
          <w:sz w:val="24"/>
          <w:szCs w:val="24"/>
        </w:rPr>
        <w:t>2</w:t>
      </w:r>
      <w:r w:rsidR="00244E30" w:rsidRPr="008711E4">
        <w:rPr>
          <w:rFonts w:ascii="Calibri" w:hAnsi="Calibri" w:cs="Calibri"/>
          <w:b/>
          <w:bCs/>
          <w:sz w:val="24"/>
          <w:szCs w:val="24"/>
        </w:rPr>
        <w:t>.-</w:t>
      </w:r>
      <w:r w:rsidR="00244E30" w:rsidRPr="008711E4">
        <w:rPr>
          <w:rFonts w:ascii="Calibri" w:hAnsi="Calibri" w:cs="Calibri"/>
          <w:sz w:val="24"/>
          <w:szCs w:val="24"/>
        </w:rPr>
        <w:t xml:space="preserve"> Ostento un interés legítimo por ser residente afectado por la actuación autorizada y por los efectos que la misma puede producir sobre la infraestructura eléctrica existente, sobre </w:t>
      </w:r>
      <w:r w:rsidRPr="008711E4">
        <w:rPr>
          <w:rFonts w:ascii="Calibri" w:hAnsi="Calibri" w:cs="Calibri"/>
          <w:sz w:val="24"/>
          <w:szCs w:val="24"/>
        </w:rPr>
        <w:t>las</w:t>
      </w:r>
      <w:r w:rsidR="00244E30" w:rsidRPr="008711E4">
        <w:rPr>
          <w:rFonts w:ascii="Calibri" w:hAnsi="Calibri" w:cs="Calibri"/>
          <w:sz w:val="24"/>
          <w:szCs w:val="24"/>
        </w:rPr>
        <w:t xml:space="preserve"> condiciones de vida y sobre el ejercicio de derechos fundamentales y sociales básicos, y por suponer una actuación que pretende obstaculizar el cumplimiento de una Decisión Europea que manda a las autoridades españolas a cesar en la violación de Derechos de la Carta Social Europea derivados del corte de suministro total en sector 6 desde 2020 y el corte de suministro alterno en algunas semanas invernales en el sector 5.</w:t>
      </w:r>
    </w:p>
    <w:p w14:paraId="1050DD06" w14:textId="2A93BB42" w:rsidR="00244E30" w:rsidRPr="008711E4" w:rsidRDefault="008711E4" w:rsidP="00244E30">
      <w:pPr>
        <w:jc w:val="both"/>
        <w:rPr>
          <w:rFonts w:ascii="Calibri" w:hAnsi="Calibri" w:cs="Calibri"/>
          <w:sz w:val="24"/>
          <w:szCs w:val="24"/>
        </w:rPr>
      </w:pPr>
      <w:r>
        <w:rPr>
          <w:rFonts w:ascii="Calibri" w:hAnsi="Calibri" w:cs="Calibri"/>
          <w:b/>
          <w:bCs/>
          <w:sz w:val="24"/>
          <w:szCs w:val="24"/>
        </w:rPr>
        <w:t>3</w:t>
      </w:r>
      <w:r w:rsidR="00244E30" w:rsidRPr="008711E4">
        <w:rPr>
          <w:rFonts w:ascii="Calibri" w:hAnsi="Calibri" w:cs="Calibri"/>
          <w:b/>
          <w:bCs/>
          <w:sz w:val="24"/>
          <w:szCs w:val="24"/>
        </w:rPr>
        <w:t>.-</w:t>
      </w:r>
      <w:r w:rsidR="00244E30" w:rsidRPr="008711E4">
        <w:rPr>
          <w:rFonts w:ascii="Calibri" w:hAnsi="Calibri" w:cs="Calibri"/>
          <w:sz w:val="24"/>
          <w:szCs w:val="24"/>
        </w:rPr>
        <w:t xml:space="preserve"> Que mediante el presente escrito interpone </w:t>
      </w:r>
      <w:r w:rsidR="00244E30" w:rsidRPr="008711E4">
        <w:rPr>
          <w:rFonts w:ascii="Calibri" w:hAnsi="Calibri" w:cs="Calibri"/>
          <w:b/>
          <w:bCs/>
          <w:sz w:val="24"/>
          <w:szCs w:val="24"/>
          <w:u w:val="single"/>
        </w:rPr>
        <w:t>RECURSO DE ALZADA</w:t>
      </w:r>
      <w:r w:rsidR="00244E30" w:rsidRPr="008711E4">
        <w:rPr>
          <w:rFonts w:ascii="Calibri" w:hAnsi="Calibri" w:cs="Calibri"/>
          <w:sz w:val="24"/>
          <w:szCs w:val="24"/>
        </w:rPr>
        <w:t xml:space="preserve"> contra la citada </w:t>
      </w:r>
      <w:r>
        <w:rPr>
          <w:rFonts w:ascii="Calibri" w:hAnsi="Calibri" w:cs="Calibri"/>
          <w:sz w:val="24"/>
          <w:szCs w:val="24"/>
        </w:rPr>
        <w:t>R</w:t>
      </w:r>
      <w:r w:rsidR="00244E30" w:rsidRPr="008711E4">
        <w:rPr>
          <w:rFonts w:ascii="Calibri" w:hAnsi="Calibri" w:cs="Calibri"/>
          <w:sz w:val="24"/>
          <w:szCs w:val="24"/>
        </w:rPr>
        <w:t>esolución, con base en los siguientes</w:t>
      </w:r>
    </w:p>
    <w:p w14:paraId="2EDF609C" w14:textId="77777777" w:rsidR="008711E4" w:rsidRPr="008711E4" w:rsidRDefault="008711E4" w:rsidP="00244E30">
      <w:pPr>
        <w:jc w:val="both"/>
        <w:rPr>
          <w:rFonts w:ascii="Calibri" w:hAnsi="Calibri" w:cs="Calibri"/>
          <w:sz w:val="24"/>
          <w:szCs w:val="24"/>
        </w:rPr>
      </w:pPr>
    </w:p>
    <w:p w14:paraId="5A368FE8" w14:textId="13A4DED7" w:rsidR="00244E30" w:rsidRPr="008711E4" w:rsidRDefault="00244E30" w:rsidP="008711E4">
      <w:pPr>
        <w:jc w:val="center"/>
        <w:rPr>
          <w:rFonts w:ascii="Calibri" w:hAnsi="Calibri" w:cs="Calibri"/>
          <w:b/>
          <w:bCs/>
          <w:sz w:val="24"/>
          <w:szCs w:val="24"/>
        </w:rPr>
      </w:pPr>
      <w:r w:rsidRPr="008711E4">
        <w:rPr>
          <w:rFonts w:ascii="Calibri" w:hAnsi="Calibri" w:cs="Calibri"/>
          <w:b/>
          <w:bCs/>
          <w:sz w:val="24"/>
          <w:szCs w:val="24"/>
        </w:rPr>
        <w:t>MOTIVOS DEL RECURSO</w:t>
      </w:r>
    </w:p>
    <w:p w14:paraId="7A3BAB58" w14:textId="77777777" w:rsidR="00244E30" w:rsidRPr="008711E4" w:rsidRDefault="00244E30" w:rsidP="00244E30">
      <w:pPr>
        <w:jc w:val="both"/>
        <w:rPr>
          <w:rFonts w:ascii="Calibri" w:hAnsi="Calibri" w:cs="Calibri"/>
          <w:b/>
          <w:bCs/>
          <w:sz w:val="24"/>
          <w:szCs w:val="24"/>
        </w:rPr>
      </w:pPr>
      <w:r w:rsidRPr="008711E4">
        <w:rPr>
          <w:rFonts w:ascii="Calibri" w:hAnsi="Calibri" w:cs="Calibri"/>
          <w:b/>
          <w:bCs/>
          <w:sz w:val="24"/>
          <w:szCs w:val="24"/>
        </w:rPr>
        <w:t>PRIMERO.- Insuficiencia de motivación y discordancia entre el objeto formal del proyecto y sus efectos materiales reales.</w:t>
      </w:r>
    </w:p>
    <w:p w14:paraId="5E2936AB" w14:textId="401AA48F"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La </w:t>
      </w:r>
      <w:r w:rsidR="008711E4">
        <w:rPr>
          <w:rFonts w:ascii="Calibri" w:hAnsi="Calibri" w:cs="Calibri"/>
          <w:sz w:val="24"/>
          <w:szCs w:val="24"/>
        </w:rPr>
        <w:t>R</w:t>
      </w:r>
      <w:r w:rsidRPr="008711E4">
        <w:rPr>
          <w:rFonts w:ascii="Calibri" w:hAnsi="Calibri" w:cs="Calibri"/>
          <w:sz w:val="24"/>
          <w:szCs w:val="24"/>
        </w:rPr>
        <w:t xml:space="preserve">esolución </w:t>
      </w:r>
      <w:r w:rsidR="008711E4">
        <w:rPr>
          <w:rFonts w:ascii="Calibri" w:hAnsi="Calibri" w:cs="Calibri"/>
          <w:sz w:val="24"/>
          <w:szCs w:val="24"/>
        </w:rPr>
        <w:t xml:space="preserve">de 12 de junio de 2026 (en adelante, “Resolución impugnada”) </w:t>
      </w:r>
      <w:r w:rsidRPr="008711E4">
        <w:rPr>
          <w:rFonts w:ascii="Calibri" w:hAnsi="Calibri" w:cs="Calibri"/>
          <w:sz w:val="24"/>
          <w:szCs w:val="24"/>
        </w:rPr>
        <w:t>presenta la actuación como una operación de reorganización o mejora técnica, cuando el propio texto de la autorización contempla desmontajes significativos de instalaciones históricas, incluyendo centros de transformación, apoyos y líneas aéreas que han prestado servicio durante décadas a la población de la zona.</w:t>
      </w:r>
    </w:p>
    <w:p w14:paraId="6E2326F1" w14:textId="77777777" w:rsidR="00244E30" w:rsidRPr="008711E4" w:rsidRDefault="00244E30" w:rsidP="00244E30">
      <w:pPr>
        <w:jc w:val="both"/>
        <w:rPr>
          <w:rFonts w:ascii="Calibri" w:hAnsi="Calibri" w:cs="Calibri"/>
          <w:sz w:val="24"/>
          <w:szCs w:val="24"/>
        </w:rPr>
      </w:pPr>
      <w:r w:rsidRPr="008711E4">
        <w:rPr>
          <w:rFonts w:ascii="Calibri" w:hAnsi="Calibri" w:cs="Calibri"/>
          <w:sz w:val="24"/>
          <w:szCs w:val="24"/>
        </w:rPr>
        <w:t>La Administración no explica por qué la eliminación de infraestructura preexistente no producirá efectos negativos sobre las posibilidades presentes o futuras de suministro eléctrico de la población afectada, ni justifica la proporcionalidad de la medida.</w:t>
      </w:r>
    </w:p>
    <w:p w14:paraId="5599F02C" w14:textId="77777777" w:rsidR="00244E30" w:rsidRPr="008711E4" w:rsidRDefault="00244E30" w:rsidP="008711E4">
      <w:pPr>
        <w:jc w:val="both"/>
        <w:rPr>
          <w:rFonts w:ascii="Calibri" w:hAnsi="Calibri" w:cs="Calibri"/>
          <w:b/>
          <w:bCs/>
          <w:sz w:val="24"/>
          <w:szCs w:val="24"/>
        </w:rPr>
      </w:pPr>
      <w:r w:rsidRPr="008711E4">
        <w:rPr>
          <w:rFonts w:ascii="Calibri" w:hAnsi="Calibri" w:cs="Calibri"/>
          <w:b/>
          <w:bCs/>
          <w:sz w:val="24"/>
          <w:szCs w:val="24"/>
        </w:rPr>
        <w:lastRenderedPageBreak/>
        <w:t>SEGUNDO.- Vulneración del principio de buena administración y de la obligación de motivación reforzada.</w:t>
      </w:r>
    </w:p>
    <w:p w14:paraId="0D9FB529" w14:textId="77777777" w:rsidR="00244E30" w:rsidRPr="008711E4" w:rsidRDefault="00244E30" w:rsidP="00244E30">
      <w:pPr>
        <w:jc w:val="both"/>
        <w:rPr>
          <w:rFonts w:ascii="Calibri" w:hAnsi="Calibri" w:cs="Calibri"/>
          <w:sz w:val="24"/>
          <w:szCs w:val="24"/>
        </w:rPr>
      </w:pPr>
      <w:r w:rsidRPr="008711E4">
        <w:rPr>
          <w:rFonts w:ascii="Calibri" w:hAnsi="Calibri" w:cs="Calibri"/>
          <w:sz w:val="24"/>
          <w:szCs w:val="24"/>
        </w:rPr>
        <w:t>La Administración ha tratado el expediente como un procedimiento puramente técnico y reglado, rechazando considerar circunstancias sociales, institucionales y jurídicas directamente relacionadas con la realidad del territorio afectado.</w:t>
      </w:r>
    </w:p>
    <w:p w14:paraId="42F58BF5" w14:textId="77777777" w:rsidR="00244E30" w:rsidRPr="008711E4" w:rsidRDefault="00244E30" w:rsidP="00244E30">
      <w:pPr>
        <w:jc w:val="both"/>
        <w:rPr>
          <w:rFonts w:ascii="Calibri" w:hAnsi="Calibri" w:cs="Calibri"/>
          <w:sz w:val="24"/>
          <w:szCs w:val="24"/>
        </w:rPr>
      </w:pPr>
      <w:r w:rsidRPr="008711E4">
        <w:rPr>
          <w:rFonts w:ascii="Calibri" w:hAnsi="Calibri" w:cs="Calibri"/>
          <w:sz w:val="24"/>
          <w:szCs w:val="24"/>
        </w:rPr>
        <w:t>Sin embargo, el artículo 103 de la Constitución Española, el artículo 41 de la Carta de Derechos Fundamentales de la Unión Europea y la jurisprudencia consolidada exigen una actuación administrativa fundada, racional y proporcional.</w:t>
      </w:r>
    </w:p>
    <w:p w14:paraId="61071A55" w14:textId="0246B0D5" w:rsidR="00244E30" w:rsidRPr="008711E4" w:rsidRDefault="00244E30" w:rsidP="00244E30">
      <w:pPr>
        <w:jc w:val="both"/>
        <w:rPr>
          <w:rFonts w:ascii="Calibri" w:hAnsi="Calibri" w:cs="Calibri"/>
          <w:sz w:val="24"/>
          <w:szCs w:val="24"/>
        </w:rPr>
      </w:pPr>
      <w:r w:rsidRPr="008711E4">
        <w:rPr>
          <w:rFonts w:ascii="Calibri" w:hAnsi="Calibri" w:cs="Calibri"/>
          <w:sz w:val="24"/>
          <w:szCs w:val="24"/>
        </w:rPr>
        <w:t>La Administración no puede fragmentar artificialmente la realidad cuando el acto administrativo producirá efectos evidentes sobre miles de personas viviendo en circunstancias de extraordinaria vulnerabilidad social.</w:t>
      </w:r>
    </w:p>
    <w:p w14:paraId="688A1108" w14:textId="77777777" w:rsidR="00244E30" w:rsidRPr="008711E4" w:rsidRDefault="00244E30" w:rsidP="00244E30">
      <w:pPr>
        <w:jc w:val="both"/>
        <w:rPr>
          <w:rFonts w:ascii="Calibri" w:hAnsi="Calibri" w:cs="Calibri"/>
          <w:b/>
          <w:bCs/>
          <w:sz w:val="24"/>
          <w:szCs w:val="24"/>
        </w:rPr>
      </w:pPr>
      <w:r w:rsidRPr="008711E4">
        <w:rPr>
          <w:rFonts w:ascii="Calibri" w:hAnsi="Calibri" w:cs="Calibri"/>
          <w:b/>
          <w:bCs/>
          <w:sz w:val="24"/>
          <w:szCs w:val="24"/>
        </w:rPr>
        <w:t>TERCERO.- Falta de valoración de los derechos fundamentales y sociales afectados.</w:t>
      </w:r>
    </w:p>
    <w:p w14:paraId="13BC5E2A" w14:textId="5E8AE3C9" w:rsidR="00244E30" w:rsidRPr="008711E4" w:rsidRDefault="00244E30" w:rsidP="00244E30">
      <w:pPr>
        <w:jc w:val="both"/>
        <w:rPr>
          <w:rFonts w:ascii="Calibri" w:hAnsi="Calibri" w:cs="Calibri"/>
          <w:sz w:val="24"/>
          <w:szCs w:val="24"/>
        </w:rPr>
      </w:pPr>
      <w:r w:rsidRPr="008711E4">
        <w:rPr>
          <w:rFonts w:ascii="Calibri" w:hAnsi="Calibri" w:cs="Calibri"/>
          <w:sz w:val="24"/>
          <w:szCs w:val="24"/>
        </w:rPr>
        <w:t>La Autorización de desmontaje se desarrollará en un contexto de privación prolongada de suministro eléctrico que afecta a miles de personas, incluid</w:t>
      </w:r>
      <w:r w:rsidR="008711E4">
        <w:rPr>
          <w:rFonts w:ascii="Calibri" w:hAnsi="Calibri" w:cs="Calibri"/>
          <w:sz w:val="24"/>
          <w:szCs w:val="24"/>
        </w:rPr>
        <w:t>o</w:t>
      </w:r>
      <w:r w:rsidRPr="008711E4">
        <w:rPr>
          <w:rFonts w:ascii="Calibri" w:hAnsi="Calibri" w:cs="Calibri"/>
          <w:sz w:val="24"/>
          <w:szCs w:val="24"/>
        </w:rPr>
        <w:t xml:space="preserve">s </w:t>
      </w:r>
      <w:r w:rsidR="008711E4">
        <w:rPr>
          <w:rFonts w:ascii="Calibri" w:hAnsi="Calibri" w:cs="Calibri"/>
          <w:sz w:val="24"/>
          <w:szCs w:val="24"/>
        </w:rPr>
        <w:t xml:space="preserve">niños, niñas, adolescentes, </w:t>
      </w:r>
      <w:r w:rsidRPr="008711E4">
        <w:rPr>
          <w:rFonts w:ascii="Calibri" w:hAnsi="Calibri" w:cs="Calibri"/>
          <w:sz w:val="24"/>
          <w:szCs w:val="24"/>
        </w:rPr>
        <w:t>personas mayores</w:t>
      </w:r>
      <w:r w:rsidR="008711E4">
        <w:rPr>
          <w:rFonts w:ascii="Calibri" w:hAnsi="Calibri" w:cs="Calibri"/>
          <w:sz w:val="24"/>
          <w:szCs w:val="24"/>
        </w:rPr>
        <w:t>, personas con discapacidad</w:t>
      </w:r>
      <w:r w:rsidRPr="008711E4">
        <w:rPr>
          <w:rFonts w:ascii="Calibri" w:hAnsi="Calibri" w:cs="Calibri"/>
          <w:sz w:val="24"/>
          <w:szCs w:val="24"/>
        </w:rPr>
        <w:t xml:space="preserve"> y </w:t>
      </w:r>
      <w:r w:rsidR="008711E4">
        <w:rPr>
          <w:rFonts w:ascii="Calibri" w:hAnsi="Calibri" w:cs="Calibri"/>
          <w:sz w:val="24"/>
          <w:szCs w:val="24"/>
        </w:rPr>
        <w:t>personas en situación de especial</w:t>
      </w:r>
      <w:r w:rsidRPr="008711E4">
        <w:rPr>
          <w:rFonts w:ascii="Calibri" w:hAnsi="Calibri" w:cs="Calibri"/>
          <w:sz w:val="24"/>
          <w:szCs w:val="24"/>
        </w:rPr>
        <w:t xml:space="preserve"> vulnerab</w:t>
      </w:r>
      <w:r w:rsidR="008711E4">
        <w:rPr>
          <w:rFonts w:ascii="Calibri" w:hAnsi="Calibri" w:cs="Calibri"/>
          <w:sz w:val="24"/>
          <w:szCs w:val="24"/>
        </w:rPr>
        <w:t>ilidad</w:t>
      </w:r>
      <w:r w:rsidRPr="008711E4">
        <w:rPr>
          <w:rFonts w:ascii="Calibri" w:hAnsi="Calibri" w:cs="Calibri"/>
          <w:sz w:val="24"/>
          <w:szCs w:val="24"/>
        </w:rPr>
        <w:t>.</w:t>
      </w:r>
    </w:p>
    <w:p w14:paraId="3C752735" w14:textId="158B594D" w:rsidR="00244E30" w:rsidRPr="008711E4" w:rsidRDefault="00244E30" w:rsidP="00244E30">
      <w:pPr>
        <w:jc w:val="both"/>
        <w:rPr>
          <w:rFonts w:ascii="Calibri" w:hAnsi="Calibri" w:cs="Calibri"/>
          <w:sz w:val="24"/>
          <w:szCs w:val="24"/>
        </w:rPr>
      </w:pPr>
      <w:r w:rsidRPr="008711E4">
        <w:rPr>
          <w:rFonts w:ascii="Calibri" w:hAnsi="Calibri" w:cs="Calibri"/>
          <w:sz w:val="24"/>
          <w:szCs w:val="24"/>
        </w:rPr>
        <w:t>La Administración ha omitido cualquier análisis sobre dignidad humana, derecho a la integridad física y moral, derecho a la salud, derechos de la infancia, derecho a una vivienda adecuada, protección frente a la exclusión social y pobreza energética, principio de igualdad y no discriminación.</w:t>
      </w:r>
    </w:p>
    <w:p w14:paraId="756DEDB3" w14:textId="68449045"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La </w:t>
      </w:r>
      <w:r w:rsidR="008711E4">
        <w:rPr>
          <w:rFonts w:ascii="Calibri" w:hAnsi="Calibri" w:cs="Calibri"/>
          <w:sz w:val="24"/>
          <w:szCs w:val="24"/>
        </w:rPr>
        <w:t>R</w:t>
      </w:r>
      <w:r w:rsidRPr="008711E4">
        <w:rPr>
          <w:rFonts w:ascii="Calibri" w:hAnsi="Calibri" w:cs="Calibri"/>
          <w:sz w:val="24"/>
          <w:szCs w:val="24"/>
        </w:rPr>
        <w:t>esolución impugnada se limita a verificar requisitos técnicos de la Ley 24/2013, pero omite el "test de razonabilidad" sobre cómo el desmontaje de transformadores históricos afectará a la salud</w:t>
      </w:r>
      <w:r w:rsidR="008711E4">
        <w:rPr>
          <w:rFonts w:ascii="Calibri" w:hAnsi="Calibri" w:cs="Calibri"/>
          <w:sz w:val="24"/>
          <w:szCs w:val="24"/>
        </w:rPr>
        <w:t xml:space="preserve">, </w:t>
      </w:r>
      <w:r w:rsidRPr="008711E4">
        <w:rPr>
          <w:rFonts w:ascii="Calibri" w:hAnsi="Calibri" w:cs="Calibri"/>
          <w:sz w:val="24"/>
          <w:szCs w:val="24"/>
        </w:rPr>
        <w:t xml:space="preserve">dignidad </w:t>
      </w:r>
      <w:r w:rsidR="008711E4">
        <w:rPr>
          <w:rFonts w:ascii="Calibri" w:hAnsi="Calibri" w:cs="Calibri"/>
          <w:sz w:val="24"/>
          <w:szCs w:val="24"/>
        </w:rPr>
        <w:t xml:space="preserve">y derechos </w:t>
      </w:r>
      <w:r w:rsidRPr="008711E4">
        <w:rPr>
          <w:rFonts w:ascii="Calibri" w:hAnsi="Calibri" w:cs="Calibri"/>
          <w:sz w:val="24"/>
          <w:szCs w:val="24"/>
        </w:rPr>
        <w:t>de los residentes.</w:t>
      </w:r>
    </w:p>
    <w:p w14:paraId="1544D6E1" w14:textId="77777777" w:rsidR="00244E30" w:rsidRPr="008711E4" w:rsidRDefault="00244E30" w:rsidP="00244E30">
      <w:pPr>
        <w:jc w:val="both"/>
        <w:rPr>
          <w:rFonts w:ascii="Calibri" w:hAnsi="Calibri" w:cs="Calibri"/>
          <w:b/>
          <w:bCs/>
          <w:sz w:val="24"/>
          <w:szCs w:val="24"/>
        </w:rPr>
      </w:pPr>
      <w:r w:rsidRPr="008711E4">
        <w:rPr>
          <w:rFonts w:ascii="Calibri" w:hAnsi="Calibri" w:cs="Calibri"/>
          <w:b/>
          <w:bCs/>
          <w:sz w:val="24"/>
          <w:szCs w:val="24"/>
        </w:rPr>
        <w:t>CUARTO.- Falta de consideración de las obligaciones derivadas del Derecho internacional ratificado por España.</w:t>
      </w:r>
    </w:p>
    <w:p w14:paraId="0CF429F7" w14:textId="529B9687"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La </w:t>
      </w:r>
      <w:r w:rsidR="008711E4">
        <w:rPr>
          <w:rFonts w:ascii="Calibri" w:hAnsi="Calibri" w:cs="Calibri"/>
          <w:sz w:val="24"/>
          <w:szCs w:val="24"/>
        </w:rPr>
        <w:t>R</w:t>
      </w:r>
      <w:r w:rsidRPr="008711E4">
        <w:rPr>
          <w:rFonts w:ascii="Calibri" w:hAnsi="Calibri" w:cs="Calibri"/>
          <w:sz w:val="24"/>
          <w:szCs w:val="24"/>
        </w:rPr>
        <w:t xml:space="preserve">esolución impugnada, al dar respuesta a las alegaciones formuladas en relación con el Comité Europeo de Derechos Sociales, </w:t>
      </w:r>
      <w:r w:rsidRPr="008711E4">
        <w:rPr>
          <w:rFonts w:ascii="Calibri" w:hAnsi="Calibri" w:cs="Calibri"/>
          <w:b/>
          <w:bCs/>
          <w:sz w:val="24"/>
          <w:szCs w:val="24"/>
        </w:rPr>
        <w:t xml:space="preserve">se limita a invocar la Sentencia del Tribunal Supremo (Sala de lo Social) de 16 de julio de 2025, recurso </w:t>
      </w:r>
      <w:proofErr w:type="spellStart"/>
      <w:r w:rsidRPr="008711E4">
        <w:rPr>
          <w:rFonts w:ascii="Calibri" w:hAnsi="Calibri" w:cs="Calibri"/>
          <w:b/>
          <w:bCs/>
          <w:sz w:val="24"/>
          <w:szCs w:val="24"/>
        </w:rPr>
        <w:t>nº</w:t>
      </w:r>
      <w:proofErr w:type="spellEnd"/>
      <w:r w:rsidRPr="008711E4">
        <w:rPr>
          <w:rFonts w:ascii="Calibri" w:hAnsi="Calibri" w:cs="Calibri"/>
          <w:b/>
          <w:bCs/>
          <w:sz w:val="24"/>
          <w:szCs w:val="24"/>
        </w:rPr>
        <w:t xml:space="preserve"> 3993/2024</w:t>
      </w:r>
      <w:r w:rsidRPr="008711E4">
        <w:rPr>
          <w:rFonts w:ascii="Calibri" w:hAnsi="Calibri" w:cs="Calibri"/>
          <w:sz w:val="24"/>
          <w:szCs w:val="24"/>
        </w:rPr>
        <w:t xml:space="preserve">, que se pronuncia sobre el carácter no vinculante y no ejecutivo de las decisiones de dicho Comité </w:t>
      </w:r>
      <w:r w:rsidRPr="008711E4">
        <w:rPr>
          <w:rFonts w:ascii="Calibri" w:hAnsi="Calibri" w:cs="Calibri"/>
          <w:i/>
          <w:iCs/>
          <w:sz w:val="24"/>
          <w:szCs w:val="24"/>
        </w:rPr>
        <w:t>con carácter general</w:t>
      </w:r>
      <w:r w:rsidRPr="008711E4">
        <w:rPr>
          <w:rFonts w:ascii="Calibri" w:hAnsi="Calibri" w:cs="Calibri"/>
          <w:sz w:val="24"/>
          <w:szCs w:val="24"/>
        </w:rPr>
        <w:t>.</w:t>
      </w:r>
    </w:p>
    <w:p w14:paraId="0DFAB35D" w14:textId="6D20E587"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Sin embargo, </w:t>
      </w:r>
      <w:r w:rsidRPr="008711E4">
        <w:rPr>
          <w:rFonts w:ascii="Calibri" w:hAnsi="Calibri" w:cs="Calibri"/>
          <w:b/>
          <w:bCs/>
          <w:sz w:val="24"/>
          <w:szCs w:val="24"/>
        </w:rPr>
        <w:t xml:space="preserve">en ningún momento del texto de la </w:t>
      </w:r>
      <w:r w:rsidR="008711E4">
        <w:rPr>
          <w:rFonts w:ascii="Calibri" w:hAnsi="Calibri" w:cs="Calibri"/>
          <w:b/>
          <w:bCs/>
          <w:sz w:val="24"/>
          <w:szCs w:val="24"/>
        </w:rPr>
        <w:t>R</w:t>
      </w:r>
      <w:r w:rsidRPr="008711E4">
        <w:rPr>
          <w:rFonts w:ascii="Calibri" w:hAnsi="Calibri" w:cs="Calibri"/>
          <w:b/>
          <w:bCs/>
          <w:sz w:val="24"/>
          <w:szCs w:val="24"/>
        </w:rPr>
        <w:t>esolución se cita, menciona o valora el contenido de la Decisión sobre el Fondo adoptada por el propio Comité Europeo de Derechos Sociales el 11 de septiembre de 2024</w:t>
      </w:r>
      <w:r w:rsidRPr="008711E4">
        <w:rPr>
          <w:rFonts w:ascii="Calibri" w:hAnsi="Calibri" w:cs="Calibri"/>
          <w:sz w:val="24"/>
          <w:szCs w:val="24"/>
        </w:rPr>
        <w:t xml:space="preserve"> —notificada el 25 de octubre de 2024 y hecha pública el 26 de febrero de 2025— en la </w:t>
      </w:r>
      <w:r w:rsidRPr="008711E4">
        <w:rPr>
          <w:rFonts w:ascii="Calibri" w:hAnsi="Calibri" w:cs="Calibri"/>
          <w:b/>
          <w:bCs/>
          <w:sz w:val="24"/>
          <w:szCs w:val="24"/>
        </w:rPr>
        <w:t xml:space="preserve">Reclamación Colectiva </w:t>
      </w:r>
      <w:proofErr w:type="spellStart"/>
      <w:r w:rsidRPr="008711E4">
        <w:rPr>
          <w:rFonts w:ascii="Calibri" w:hAnsi="Calibri" w:cs="Calibri"/>
          <w:b/>
          <w:bCs/>
          <w:sz w:val="24"/>
          <w:szCs w:val="24"/>
        </w:rPr>
        <w:t>nº</w:t>
      </w:r>
      <w:proofErr w:type="spellEnd"/>
      <w:r w:rsidRPr="008711E4">
        <w:rPr>
          <w:rFonts w:ascii="Calibri" w:hAnsi="Calibri" w:cs="Calibri"/>
          <w:b/>
          <w:bCs/>
          <w:sz w:val="24"/>
          <w:szCs w:val="24"/>
        </w:rPr>
        <w:t xml:space="preserve"> 206/2022</w:t>
      </w:r>
      <w:r w:rsidRPr="008711E4">
        <w:rPr>
          <w:rFonts w:ascii="Calibri" w:hAnsi="Calibri" w:cs="Calibri"/>
          <w:sz w:val="24"/>
          <w:szCs w:val="24"/>
        </w:rPr>
        <w:t xml:space="preserve"> (</w:t>
      </w:r>
      <w:proofErr w:type="spellStart"/>
      <w:r w:rsidRPr="008711E4">
        <w:rPr>
          <w:rFonts w:ascii="Calibri" w:hAnsi="Calibri" w:cs="Calibri"/>
          <w:i/>
          <w:iCs/>
          <w:sz w:val="24"/>
          <w:szCs w:val="24"/>
        </w:rPr>
        <w:t>Defence</w:t>
      </w:r>
      <w:proofErr w:type="spellEnd"/>
      <w:r w:rsidRPr="008711E4">
        <w:rPr>
          <w:rFonts w:ascii="Calibri" w:hAnsi="Calibri" w:cs="Calibri"/>
          <w:i/>
          <w:iCs/>
          <w:sz w:val="24"/>
          <w:szCs w:val="24"/>
        </w:rPr>
        <w:t xml:space="preserve"> </w:t>
      </w:r>
      <w:proofErr w:type="spellStart"/>
      <w:r w:rsidRPr="008711E4">
        <w:rPr>
          <w:rFonts w:ascii="Calibri" w:hAnsi="Calibri" w:cs="Calibri"/>
          <w:i/>
          <w:iCs/>
          <w:sz w:val="24"/>
          <w:szCs w:val="24"/>
        </w:rPr>
        <w:t>for</w:t>
      </w:r>
      <w:proofErr w:type="spellEnd"/>
      <w:r w:rsidRPr="008711E4">
        <w:rPr>
          <w:rFonts w:ascii="Calibri" w:hAnsi="Calibri" w:cs="Calibri"/>
          <w:i/>
          <w:iCs/>
          <w:sz w:val="24"/>
          <w:szCs w:val="24"/>
        </w:rPr>
        <w:t xml:space="preserve"> </w:t>
      </w:r>
      <w:proofErr w:type="spellStart"/>
      <w:r w:rsidRPr="008711E4">
        <w:rPr>
          <w:rFonts w:ascii="Calibri" w:hAnsi="Calibri" w:cs="Calibri"/>
          <w:i/>
          <w:iCs/>
          <w:sz w:val="24"/>
          <w:szCs w:val="24"/>
        </w:rPr>
        <w:t>Children</w:t>
      </w:r>
      <w:proofErr w:type="spellEnd"/>
      <w:r w:rsidRPr="008711E4">
        <w:rPr>
          <w:rFonts w:ascii="Calibri" w:hAnsi="Calibri" w:cs="Calibri"/>
          <w:i/>
          <w:iCs/>
          <w:sz w:val="24"/>
          <w:szCs w:val="24"/>
        </w:rPr>
        <w:t xml:space="preserve"> International, FEANTSA, MEDEL, CCOO y ATD Cuarto Mundo c. España</w:t>
      </w:r>
      <w:r w:rsidRPr="008711E4">
        <w:rPr>
          <w:rFonts w:ascii="Calibri" w:hAnsi="Calibri" w:cs="Calibri"/>
          <w:sz w:val="24"/>
          <w:szCs w:val="24"/>
        </w:rPr>
        <w:t xml:space="preserve">). Dicha Decisión declara probada, de forma específica y referida a los Sectores 5 y 6 de la Cañada Real Galiana —el mismo territorio afectado por la </w:t>
      </w:r>
      <w:r w:rsidR="008711E4">
        <w:rPr>
          <w:rFonts w:ascii="Calibri" w:hAnsi="Calibri" w:cs="Calibri"/>
          <w:sz w:val="24"/>
          <w:szCs w:val="24"/>
        </w:rPr>
        <w:t>R</w:t>
      </w:r>
      <w:r w:rsidRPr="008711E4">
        <w:rPr>
          <w:rFonts w:ascii="Calibri" w:hAnsi="Calibri" w:cs="Calibri"/>
          <w:sz w:val="24"/>
          <w:szCs w:val="24"/>
        </w:rPr>
        <w:t>esolución impugnada—, la violación por parte del Reino de España de los artículos 31§1 (vivienda), 16 (protección de la familia</w:t>
      </w:r>
      <w:r w:rsidR="008711E4">
        <w:rPr>
          <w:rFonts w:ascii="Calibri" w:hAnsi="Calibri" w:cs="Calibri"/>
          <w:sz w:val="24"/>
          <w:szCs w:val="24"/>
        </w:rPr>
        <w:t xml:space="preserve">, tanto en su vertiente de vivienda adecuada como en la de participación de </w:t>
      </w:r>
      <w:r w:rsidR="008711E4">
        <w:rPr>
          <w:rFonts w:ascii="Calibri" w:hAnsi="Calibri" w:cs="Calibri"/>
          <w:sz w:val="24"/>
          <w:szCs w:val="24"/>
        </w:rPr>
        <w:lastRenderedPageBreak/>
        <w:t>las asociaciones representativas en la toma de decisiones</w:t>
      </w:r>
      <w:r w:rsidRPr="008711E4">
        <w:rPr>
          <w:rFonts w:ascii="Calibri" w:hAnsi="Calibri" w:cs="Calibri"/>
          <w:sz w:val="24"/>
          <w:szCs w:val="24"/>
        </w:rPr>
        <w:t xml:space="preserve">), 11§1 y 11§3 (salud), 17§1 y 17§2 (infancia y educación), 30 (pobreza y exclusión social), 23 (personas mayores) y 15§3 (personas con discapacidad) de la Carta Social Europea. En cualquier caso, el artículo 10.2 de la Constitución </w:t>
      </w:r>
      <w:r w:rsidR="008711E4">
        <w:rPr>
          <w:rFonts w:ascii="Calibri" w:hAnsi="Calibri" w:cs="Calibri"/>
          <w:sz w:val="24"/>
          <w:szCs w:val="24"/>
        </w:rPr>
        <w:t xml:space="preserve">Española </w:t>
      </w:r>
      <w:r w:rsidRPr="008711E4">
        <w:rPr>
          <w:rFonts w:ascii="Calibri" w:hAnsi="Calibri" w:cs="Calibri"/>
          <w:sz w:val="24"/>
          <w:szCs w:val="24"/>
        </w:rPr>
        <w:t>establece que las normas relativas a derechos fundamentales deben interpretarse conforme a los tratados internacionales suscritos por España y el artículo 96 de la Constitución integra los tratados internacionales en el ordenamiento interno, por lo que España se encuentra obligada a actuar de buena fe respecto de sus compromisos internacionales.</w:t>
      </w:r>
    </w:p>
    <w:p w14:paraId="65BFA6F6" w14:textId="77777777" w:rsidR="00244E30" w:rsidRPr="008711E4" w:rsidRDefault="00244E30" w:rsidP="00244E30">
      <w:pPr>
        <w:jc w:val="both"/>
        <w:rPr>
          <w:rFonts w:ascii="Calibri" w:hAnsi="Calibri" w:cs="Calibri"/>
          <w:sz w:val="24"/>
          <w:szCs w:val="24"/>
        </w:rPr>
      </w:pPr>
      <w:r w:rsidRPr="008711E4">
        <w:rPr>
          <w:rFonts w:ascii="Calibri" w:hAnsi="Calibri" w:cs="Calibri"/>
          <w:sz w:val="24"/>
          <w:szCs w:val="24"/>
        </w:rPr>
        <w:t>La Administración no puede ignorar completamente un pronunciamiento internacional que identifica una situación continuada de vulneración de derechos sociales precisamente respecto del territorio afectado por la actuación autorizada.</w:t>
      </w:r>
    </w:p>
    <w:p w14:paraId="047523B5" w14:textId="091162F1"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No se trata, por tanto, de una simple discrepancia sobre el valor jurídico de las decisiones de dicho Comité, cuestión ya zanjada por la </w:t>
      </w:r>
      <w:r w:rsidR="008711E4">
        <w:rPr>
          <w:rFonts w:ascii="Calibri" w:hAnsi="Calibri" w:cs="Calibri"/>
          <w:sz w:val="24"/>
          <w:szCs w:val="24"/>
        </w:rPr>
        <w:t>R</w:t>
      </w:r>
      <w:r w:rsidRPr="008711E4">
        <w:rPr>
          <w:rFonts w:ascii="Calibri" w:hAnsi="Calibri" w:cs="Calibri"/>
          <w:sz w:val="24"/>
          <w:szCs w:val="24"/>
        </w:rPr>
        <w:t xml:space="preserve">esolución </w:t>
      </w:r>
      <w:r w:rsidR="008711E4">
        <w:rPr>
          <w:rFonts w:ascii="Calibri" w:hAnsi="Calibri" w:cs="Calibri"/>
          <w:sz w:val="24"/>
          <w:szCs w:val="24"/>
        </w:rPr>
        <w:t xml:space="preserve">impugnada </w:t>
      </w:r>
      <w:r w:rsidRPr="008711E4">
        <w:rPr>
          <w:rFonts w:ascii="Calibri" w:hAnsi="Calibri" w:cs="Calibri"/>
          <w:sz w:val="24"/>
          <w:szCs w:val="24"/>
        </w:rPr>
        <w:t xml:space="preserve">mediante cita jurisprudencial genérica, sino de la omisión total y absoluta de la existencia de un pronunciamiento internacional firme, específico y sobrevenido, que llevaba más de un año siendo público a la fecha de la </w:t>
      </w:r>
      <w:r w:rsidR="008711E4">
        <w:rPr>
          <w:rFonts w:ascii="Calibri" w:hAnsi="Calibri" w:cs="Calibri"/>
          <w:sz w:val="24"/>
          <w:szCs w:val="24"/>
        </w:rPr>
        <w:t>R</w:t>
      </w:r>
      <w:r w:rsidRPr="008711E4">
        <w:rPr>
          <w:rFonts w:ascii="Calibri" w:hAnsi="Calibri" w:cs="Calibri"/>
          <w:sz w:val="24"/>
          <w:szCs w:val="24"/>
        </w:rPr>
        <w:t>esolución</w:t>
      </w:r>
      <w:r w:rsidR="008711E4">
        <w:rPr>
          <w:rFonts w:ascii="Calibri" w:hAnsi="Calibri" w:cs="Calibri"/>
          <w:sz w:val="24"/>
          <w:szCs w:val="24"/>
        </w:rPr>
        <w:t xml:space="preserve"> impugnada</w:t>
      </w:r>
      <w:r w:rsidRPr="008711E4">
        <w:rPr>
          <w:rFonts w:ascii="Calibri" w:hAnsi="Calibri" w:cs="Calibri"/>
          <w:sz w:val="24"/>
          <w:szCs w:val="24"/>
        </w:rPr>
        <w:t xml:space="preserve"> (4 de junio de 2026) y que resulta plenamente aplicable a los hechos objeto de este expediente.</w:t>
      </w:r>
    </w:p>
    <w:p w14:paraId="1CE77F4B" w14:textId="1810C395"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La </w:t>
      </w:r>
      <w:r w:rsidR="008711E4">
        <w:rPr>
          <w:rFonts w:ascii="Calibri" w:hAnsi="Calibri" w:cs="Calibri"/>
          <w:sz w:val="24"/>
          <w:szCs w:val="24"/>
        </w:rPr>
        <w:t>Resolución impugnada</w:t>
      </w:r>
      <w:r w:rsidRPr="008711E4">
        <w:rPr>
          <w:rFonts w:ascii="Calibri" w:hAnsi="Calibri" w:cs="Calibri"/>
          <w:sz w:val="24"/>
          <w:szCs w:val="24"/>
        </w:rPr>
        <w:t>, en la medida en que obvia esta Resolución</w:t>
      </w:r>
      <w:r w:rsidR="008711E4">
        <w:rPr>
          <w:rFonts w:ascii="Calibri" w:hAnsi="Calibri" w:cs="Calibri"/>
          <w:sz w:val="24"/>
          <w:szCs w:val="24"/>
        </w:rPr>
        <w:t xml:space="preserve"> del Consejo de Europa</w:t>
      </w:r>
      <w:r w:rsidRPr="008711E4">
        <w:rPr>
          <w:rFonts w:ascii="Calibri" w:hAnsi="Calibri" w:cs="Calibri"/>
          <w:sz w:val="24"/>
          <w:szCs w:val="24"/>
        </w:rPr>
        <w:t xml:space="preserve"> y evita pronunciarse sobre el conflicto evidente que existe entre ambos pronunciamientos, está vulnerando el derecho a la tutela judicial efectiva, el principio de buena administración y el deber de motivación reforzada</w:t>
      </w:r>
      <w:r w:rsidR="00AE3B31" w:rsidRPr="008711E4">
        <w:rPr>
          <w:rFonts w:ascii="Calibri" w:hAnsi="Calibri" w:cs="Calibri"/>
          <w:sz w:val="24"/>
          <w:szCs w:val="24"/>
        </w:rPr>
        <w:t xml:space="preserve">. Asimismo, vulnera </w:t>
      </w:r>
      <w:r w:rsidRPr="008711E4">
        <w:rPr>
          <w:rFonts w:ascii="Calibri" w:hAnsi="Calibri" w:cs="Calibri"/>
          <w:sz w:val="24"/>
          <w:szCs w:val="24"/>
        </w:rPr>
        <w:t>el principio de cumplimiento de los Tratados Internacionales (artículo 96 de la Constitución</w:t>
      </w:r>
      <w:r w:rsidR="008711E4">
        <w:rPr>
          <w:rFonts w:ascii="Calibri" w:hAnsi="Calibri" w:cs="Calibri"/>
          <w:sz w:val="24"/>
          <w:szCs w:val="24"/>
        </w:rPr>
        <w:t xml:space="preserve"> Española</w:t>
      </w:r>
      <w:r w:rsidRPr="008711E4">
        <w:rPr>
          <w:rFonts w:ascii="Calibri" w:hAnsi="Calibri" w:cs="Calibri"/>
          <w:sz w:val="24"/>
          <w:szCs w:val="24"/>
        </w:rPr>
        <w:t xml:space="preserve">) porque, al margen de las consideraciones sobre si la Resolución europea es directamente vinculante o no, lo cierto es que la Resolución </w:t>
      </w:r>
      <w:r w:rsidR="008711E4">
        <w:rPr>
          <w:rFonts w:ascii="Calibri" w:hAnsi="Calibri" w:cs="Calibri"/>
          <w:sz w:val="24"/>
          <w:szCs w:val="24"/>
        </w:rPr>
        <w:t xml:space="preserve">sí </w:t>
      </w:r>
      <w:r w:rsidRPr="008711E4">
        <w:rPr>
          <w:rFonts w:ascii="Calibri" w:hAnsi="Calibri" w:cs="Calibri"/>
          <w:sz w:val="24"/>
          <w:szCs w:val="24"/>
        </w:rPr>
        <w:t xml:space="preserve">impone un deber de consideración específico para las administraciones afectadas en el ámbito de su pronunciamiento. </w:t>
      </w:r>
    </w:p>
    <w:p w14:paraId="780B1DFC" w14:textId="5D849A9A"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Esta ausencia hace a la </w:t>
      </w:r>
      <w:r w:rsidR="008711E4">
        <w:rPr>
          <w:rFonts w:ascii="Calibri" w:hAnsi="Calibri" w:cs="Calibri"/>
          <w:sz w:val="24"/>
          <w:szCs w:val="24"/>
        </w:rPr>
        <w:t>R</w:t>
      </w:r>
      <w:r w:rsidRPr="008711E4">
        <w:rPr>
          <w:rFonts w:ascii="Calibri" w:hAnsi="Calibri" w:cs="Calibri"/>
          <w:sz w:val="24"/>
          <w:szCs w:val="24"/>
        </w:rPr>
        <w:t xml:space="preserve">esolución </w:t>
      </w:r>
      <w:r w:rsidR="008711E4">
        <w:rPr>
          <w:rFonts w:ascii="Calibri" w:hAnsi="Calibri" w:cs="Calibri"/>
          <w:sz w:val="24"/>
          <w:szCs w:val="24"/>
        </w:rPr>
        <w:t xml:space="preserve">impugnada </w:t>
      </w:r>
      <w:r w:rsidRPr="008711E4">
        <w:rPr>
          <w:rFonts w:ascii="Calibri" w:hAnsi="Calibri" w:cs="Calibri"/>
          <w:sz w:val="24"/>
          <w:szCs w:val="24"/>
        </w:rPr>
        <w:t>nula por falta de motivación y por vulnerar la Carta Social Europea Revisada al defraudar conscientemente su sentido y sus pronunciamientos, evadiendo su debida consideración en la toma de decisiones que directamente están afectadas por ella.</w:t>
      </w:r>
    </w:p>
    <w:p w14:paraId="5D8A4029" w14:textId="77777777" w:rsidR="00244E30" w:rsidRPr="008711E4" w:rsidRDefault="00244E30" w:rsidP="00244E30">
      <w:pPr>
        <w:rPr>
          <w:rFonts w:ascii="Calibri" w:hAnsi="Calibri" w:cs="Calibri"/>
          <w:b/>
          <w:bCs/>
          <w:sz w:val="24"/>
          <w:szCs w:val="24"/>
        </w:rPr>
      </w:pPr>
      <w:r w:rsidRPr="008711E4">
        <w:rPr>
          <w:rFonts w:ascii="Calibri" w:hAnsi="Calibri" w:cs="Calibri"/>
          <w:b/>
          <w:bCs/>
          <w:sz w:val="24"/>
          <w:szCs w:val="24"/>
        </w:rPr>
        <w:t>QUINTO.- Vulneración del principio de precaución y proporcionalidad.</w:t>
      </w:r>
    </w:p>
    <w:p w14:paraId="1BCC493A" w14:textId="77777777" w:rsidR="00244E30" w:rsidRPr="008711E4" w:rsidRDefault="00244E30" w:rsidP="00244E30">
      <w:pPr>
        <w:rPr>
          <w:rFonts w:ascii="Calibri" w:hAnsi="Calibri" w:cs="Calibri"/>
          <w:sz w:val="24"/>
          <w:szCs w:val="24"/>
        </w:rPr>
      </w:pPr>
      <w:r w:rsidRPr="008711E4">
        <w:rPr>
          <w:rFonts w:ascii="Calibri" w:hAnsi="Calibri" w:cs="Calibri"/>
          <w:sz w:val="24"/>
          <w:szCs w:val="24"/>
        </w:rPr>
        <w:t>No consta evaluación suficiente de las consecuencias sociales, humanas y materiales derivadas del desmontaje o sustitución de elementos históricos de la red eléctrica.</w:t>
      </w:r>
    </w:p>
    <w:p w14:paraId="0721F1DE" w14:textId="77777777" w:rsidR="00244E30" w:rsidRPr="008711E4" w:rsidRDefault="00244E30" w:rsidP="00244E30">
      <w:pPr>
        <w:rPr>
          <w:rFonts w:ascii="Calibri" w:hAnsi="Calibri" w:cs="Calibri"/>
          <w:sz w:val="24"/>
          <w:szCs w:val="24"/>
        </w:rPr>
      </w:pPr>
      <w:r w:rsidRPr="008711E4">
        <w:rPr>
          <w:rFonts w:ascii="Calibri" w:hAnsi="Calibri" w:cs="Calibri"/>
          <w:sz w:val="24"/>
          <w:szCs w:val="24"/>
        </w:rPr>
        <w:t>Tampoco se acredita inexistencia de alternativas menos lesivas, impacto acumulativo de las actuaciones proyectadas, garantías efectivas de mantenimiento o recuperación de condiciones de suministro e inexistencia de efectos irreversibles.</w:t>
      </w:r>
    </w:p>
    <w:p w14:paraId="3C48832D" w14:textId="77777777" w:rsidR="00244E30" w:rsidRPr="008711E4" w:rsidRDefault="00244E30" w:rsidP="00244E30">
      <w:pPr>
        <w:rPr>
          <w:rFonts w:ascii="Calibri" w:hAnsi="Calibri" w:cs="Calibri"/>
          <w:b/>
          <w:bCs/>
          <w:sz w:val="24"/>
          <w:szCs w:val="24"/>
        </w:rPr>
      </w:pPr>
      <w:r w:rsidRPr="008711E4">
        <w:rPr>
          <w:rFonts w:ascii="Calibri" w:hAnsi="Calibri" w:cs="Calibri"/>
          <w:b/>
          <w:bCs/>
          <w:sz w:val="24"/>
          <w:szCs w:val="24"/>
        </w:rPr>
        <w:t>SEXTO.- Insuficiencia de la participación institucional y social.</w:t>
      </w:r>
    </w:p>
    <w:p w14:paraId="44DD31A9" w14:textId="4C2998E4"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La extraordinaria relevancia territorial y humana de la actuación exigía solicitar informes y participación efectiva de organismos y entidades directamente vinculadas a la situación de Cañada Real, entre otros: el Comisionado del Gobierno de la Comunidad de Madrid para </w:t>
      </w:r>
      <w:r w:rsidRPr="008711E4">
        <w:rPr>
          <w:rFonts w:ascii="Calibri" w:hAnsi="Calibri" w:cs="Calibri"/>
          <w:sz w:val="24"/>
          <w:szCs w:val="24"/>
        </w:rPr>
        <w:lastRenderedPageBreak/>
        <w:t>la Cañada Real Galiana; el Defensor del Pueblo; el Ayuntamiento de Madrid; el Ayuntamiento de Rivas Vaciamadrid; y organismos de protección de la infancia y de las personas con discapacidad.</w:t>
      </w:r>
    </w:p>
    <w:p w14:paraId="74C6F1D7" w14:textId="065466C3"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Por otra parte, la propia </w:t>
      </w:r>
      <w:r w:rsidR="008711E4">
        <w:rPr>
          <w:rFonts w:ascii="Calibri" w:hAnsi="Calibri" w:cs="Calibri"/>
          <w:sz w:val="24"/>
          <w:szCs w:val="24"/>
        </w:rPr>
        <w:t>R</w:t>
      </w:r>
      <w:r w:rsidRPr="008711E4">
        <w:rPr>
          <w:rFonts w:ascii="Calibri" w:hAnsi="Calibri" w:cs="Calibri"/>
          <w:sz w:val="24"/>
          <w:szCs w:val="24"/>
        </w:rPr>
        <w:t xml:space="preserve">esolución impugnada señala que la autorización se concede </w:t>
      </w:r>
      <w:r w:rsidRPr="008711E4">
        <w:rPr>
          <w:rFonts w:ascii="Calibri" w:hAnsi="Calibri" w:cs="Calibri"/>
          <w:i/>
          <w:iCs/>
          <w:sz w:val="24"/>
          <w:szCs w:val="24"/>
        </w:rPr>
        <w:t>“sin perjuicio de los condicionantes que, según manifiesta la propia UFD Distribución Electricidad, S.A. [...], se derivasen de resoluciones judiciales que determinen el modo en que dicha distribuidora debe realizar la desconexión de las conexiones ilegales existentes”</w:t>
      </w:r>
      <w:r w:rsidRPr="008711E4">
        <w:rPr>
          <w:rFonts w:ascii="Calibri" w:hAnsi="Calibri" w:cs="Calibri"/>
          <w:sz w:val="24"/>
          <w:szCs w:val="24"/>
        </w:rPr>
        <w:t xml:space="preserve">. Dicha remisión resulta </w:t>
      </w:r>
      <w:r w:rsidRPr="008711E4">
        <w:rPr>
          <w:rFonts w:ascii="Calibri" w:hAnsi="Calibri" w:cs="Calibri"/>
          <w:b/>
          <w:bCs/>
          <w:sz w:val="24"/>
          <w:szCs w:val="24"/>
        </w:rPr>
        <w:t>genérica y carente de identificación</w:t>
      </w:r>
      <w:r w:rsidRPr="008711E4">
        <w:rPr>
          <w:rFonts w:ascii="Calibri" w:hAnsi="Calibri" w:cs="Calibri"/>
          <w:sz w:val="24"/>
          <w:szCs w:val="24"/>
        </w:rPr>
        <w:t>: no se cita número de procedimiento, órgano judicial ni fecha de resolución alguna, y además se traslada como una mera manifestación de la propia UFD en su escrito de respuesta a las alegaciones, sin que la Dirección General efectúe una valoración jurídica propia al respecto.</w:t>
      </w:r>
    </w:p>
    <w:p w14:paraId="0F38AFF5" w14:textId="300A4FC5"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A mayor abundamiento, debe destacarse que el propio criterio judicial sobre el ritmo de desconexión dispone que la red se desconectará al ritmo de los realojos que vayan realizando las administraciones. Como no podía ser de otra manera, la Justicia presupone que, mientras subsista población sin realojar en los Sectores 5 y 6, el suministro </w:t>
      </w:r>
      <w:r w:rsidR="008711E4">
        <w:rPr>
          <w:rFonts w:ascii="Calibri" w:hAnsi="Calibri" w:cs="Calibri"/>
          <w:sz w:val="24"/>
          <w:szCs w:val="24"/>
        </w:rPr>
        <w:t xml:space="preserve">eléctrico </w:t>
      </w:r>
      <w:r w:rsidRPr="008711E4">
        <w:rPr>
          <w:rFonts w:ascii="Calibri" w:hAnsi="Calibri" w:cs="Calibri"/>
          <w:sz w:val="24"/>
          <w:szCs w:val="24"/>
        </w:rPr>
        <w:t>debe mantenerse. Constando que a fecha de la Decisión del Comité Europeo de Derechos Sociales de 2024 la mayoría de las familias del Sector 6 continuaban y aún continúan sin ser realojadas, la persistencia del corte de suministro a dicha población no encuentra respaldo ni siquiera en el propio criterio judicial que la Administración invoca de forma genérica, sino que lo contradice.</w:t>
      </w:r>
    </w:p>
    <w:p w14:paraId="0CC2FE3B" w14:textId="77777777" w:rsidR="00244E30" w:rsidRPr="008711E4" w:rsidRDefault="00244E30" w:rsidP="00244E30">
      <w:pPr>
        <w:rPr>
          <w:rFonts w:ascii="Calibri" w:hAnsi="Calibri" w:cs="Calibri"/>
          <w:b/>
          <w:bCs/>
          <w:sz w:val="24"/>
          <w:szCs w:val="24"/>
        </w:rPr>
      </w:pPr>
      <w:r w:rsidRPr="008711E4">
        <w:rPr>
          <w:rFonts w:ascii="Calibri" w:hAnsi="Calibri" w:cs="Calibri"/>
          <w:b/>
          <w:bCs/>
          <w:sz w:val="24"/>
          <w:szCs w:val="24"/>
        </w:rPr>
        <w:t>SÉPTIMO.- Insuficiencia de la declaración de utilidad pública.</w:t>
      </w:r>
    </w:p>
    <w:p w14:paraId="2F9FE810" w14:textId="77777777" w:rsidR="00244E30" w:rsidRPr="008711E4" w:rsidRDefault="00244E30" w:rsidP="00244E30">
      <w:pPr>
        <w:jc w:val="both"/>
        <w:rPr>
          <w:rFonts w:ascii="Calibri" w:hAnsi="Calibri" w:cs="Calibri"/>
          <w:sz w:val="24"/>
          <w:szCs w:val="24"/>
        </w:rPr>
      </w:pPr>
      <w:r w:rsidRPr="008711E4">
        <w:rPr>
          <w:rFonts w:ascii="Calibri" w:hAnsi="Calibri" w:cs="Calibri"/>
          <w:sz w:val="24"/>
          <w:szCs w:val="24"/>
        </w:rPr>
        <w:t>La declaración de utilidad pública requiere una motivación específica sobre necesidad, proporcionalidad e interés general.</w:t>
      </w:r>
    </w:p>
    <w:p w14:paraId="2496845B" w14:textId="757B7A08"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La </w:t>
      </w:r>
      <w:r w:rsidR="008711E4">
        <w:rPr>
          <w:rFonts w:ascii="Calibri" w:hAnsi="Calibri" w:cs="Calibri"/>
          <w:sz w:val="24"/>
          <w:szCs w:val="24"/>
        </w:rPr>
        <w:t>R</w:t>
      </w:r>
      <w:r w:rsidRPr="008711E4">
        <w:rPr>
          <w:rFonts w:ascii="Calibri" w:hAnsi="Calibri" w:cs="Calibri"/>
          <w:sz w:val="24"/>
          <w:szCs w:val="24"/>
        </w:rPr>
        <w:t xml:space="preserve">esolución </w:t>
      </w:r>
      <w:r w:rsidR="008711E4">
        <w:rPr>
          <w:rFonts w:ascii="Calibri" w:hAnsi="Calibri" w:cs="Calibri"/>
          <w:sz w:val="24"/>
          <w:szCs w:val="24"/>
        </w:rPr>
        <w:t xml:space="preserve">impugnada </w:t>
      </w:r>
      <w:r w:rsidRPr="008711E4">
        <w:rPr>
          <w:rFonts w:ascii="Calibri" w:hAnsi="Calibri" w:cs="Calibri"/>
          <w:sz w:val="24"/>
          <w:szCs w:val="24"/>
        </w:rPr>
        <w:t>se limita esencialmente a invocar de forma genérica la normativa sectorial sin justificar suficientemente por qué la actuación concreta responde efectivamente a dichos requisitos.</w:t>
      </w:r>
    </w:p>
    <w:p w14:paraId="3D606908" w14:textId="77777777" w:rsidR="00244E30" w:rsidRPr="008711E4" w:rsidRDefault="00244E30" w:rsidP="00244E30">
      <w:pPr>
        <w:jc w:val="both"/>
        <w:rPr>
          <w:rFonts w:ascii="Calibri" w:hAnsi="Calibri" w:cs="Calibri"/>
          <w:sz w:val="24"/>
          <w:szCs w:val="24"/>
        </w:rPr>
      </w:pPr>
      <w:r w:rsidRPr="008711E4">
        <w:rPr>
          <w:rFonts w:ascii="Calibri" w:hAnsi="Calibri" w:cs="Calibri"/>
          <w:b/>
          <w:bCs/>
          <w:sz w:val="24"/>
          <w:szCs w:val="24"/>
        </w:rPr>
        <w:t>OCTAVO.-</w:t>
      </w:r>
      <w:r w:rsidRPr="008711E4">
        <w:rPr>
          <w:rFonts w:ascii="Calibri" w:hAnsi="Calibri" w:cs="Calibri"/>
          <w:sz w:val="24"/>
          <w:szCs w:val="24"/>
        </w:rPr>
        <w:t xml:space="preserve"> </w:t>
      </w:r>
      <w:r w:rsidRPr="008711E4">
        <w:rPr>
          <w:rFonts w:ascii="Calibri" w:hAnsi="Calibri" w:cs="Calibri"/>
          <w:b/>
          <w:bCs/>
          <w:sz w:val="24"/>
          <w:szCs w:val="24"/>
        </w:rPr>
        <w:t>Vulneración del Principio de Confianza Legítima y Tolerancia de Facto</w:t>
      </w:r>
    </w:p>
    <w:p w14:paraId="36AA26CE" w14:textId="08F2F2D5" w:rsidR="00244E30" w:rsidRPr="008711E4" w:rsidRDefault="00244E30" w:rsidP="00244E30">
      <w:pPr>
        <w:jc w:val="both"/>
        <w:rPr>
          <w:rFonts w:ascii="Calibri" w:hAnsi="Calibri" w:cs="Calibri"/>
          <w:sz w:val="24"/>
          <w:szCs w:val="24"/>
        </w:rPr>
      </w:pPr>
      <w:r w:rsidRPr="008711E4">
        <w:rPr>
          <w:rFonts w:ascii="Calibri" w:hAnsi="Calibri" w:cs="Calibri"/>
          <w:sz w:val="24"/>
          <w:szCs w:val="24"/>
        </w:rPr>
        <w:t>La Administración no puede ignorar que el asentamiento</w:t>
      </w:r>
      <w:r w:rsidR="008711E4">
        <w:rPr>
          <w:rFonts w:ascii="Calibri" w:hAnsi="Calibri" w:cs="Calibri"/>
          <w:sz w:val="24"/>
          <w:szCs w:val="24"/>
        </w:rPr>
        <w:t xml:space="preserve"> y construcción de viviendas </w:t>
      </w:r>
      <w:r w:rsidRPr="008711E4">
        <w:rPr>
          <w:rFonts w:ascii="Calibri" w:hAnsi="Calibri" w:cs="Calibri"/>
          <w:sz w:val="24"/>
          <w:szCs w:val="24"/>
        </w:rPr>
        <w:t>ha sido tolerado durante décadas</w:t>
      </w:r>
      <w:r w:rsidR="008711E4">
        <w:rPr>
          <w:rFonts w:ascii="Calibri" w:hAnsi="Calibri" w:cs="Calibri"/>
          <w:sz w:val="24"/>
          <w:szCs w:val="24"/>
        </w:rPr>
        <w:t>, dando lugar a una comunidad y un barrio con vecinas y vecinos que precisan de servicios básicos, como se recoge en el Acuerdo marco y posterior Pacto para Cañada Real Galiana</w:t>
      </w:r>
      <w:r w:rsidRPr="008711E4">
        <w:rPr>
          <w:rFonts w:ascii="Calibri" w:hAnsi="Calibri" w:cs="Calibri"/>
          <w:sz w:val="24"/>
          <w:szCs w:val="24"/>
        </w:rPr>
        <w:t>. El desmontaje de infraestructuras que han prestado servicio "durante décadas" (como reconoce el propio modelo) rompe la confianza legítima de l</w:t>
      </w:r>
      <w:r w:rsidR="008711E4">
        <w:rPr>
          <w:rFonts w:ascii="Calibri" w:hAnsi="Calibri" w:cs="Calibri"/>
          <w:sz w:val="24"/>
          <w:szCs w:val="24"/>
        </w:rPr>
        <w:t xml:space="preserve">a ciudadanía </w:t>
      </w:r>
      <w:r w:rsidRPr="008711E4">
        <w:rPr>
          <w:rFonts w:ascii="Calibri" w:hAnsi="Calibri" w:cs="Calibri"/>
          <w:sz w:val="24"/>
          <w:szCs w:val="24"/>
        </w:rPr>
        <w:t>en la continuidad de los servicios mínimos.</w:t>
      </w:r>
    </w:p>
    <w:p w14:paraId="389F90F1" w14:textId="77777777"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La Sentencia del Tribunal Constitucional 188/2013, de 4 de noviembre (recurso de amparo 3769-2012), dictada precisamente en relación con la Cañada Real Galiana y la Ley 2/2011, de 15 de marzo, recoge en su voto particular una doctrina esencial para este caso, con cita de la jurisprudencia del Tribunal Europeo de Derechos Humanos (casos </w:t>
      </w:r>
      <w:r w:rsidRPr="008711E4">
        <w:rPr>
          <w:rFonts w:ascii="Calibri" w:hAnsi="Calibri" w:cs="Calibri"/>
          <w:i/>
          <w:iCs/>
          <w:sz w:val="24"/>
          <w:szCs w:val="24"/>
        </w:rPr>
        <w:t>Yordanova y otros c. Bulgaria</w:t>
      </w:r>
      <w:r w:rsidRPr="008711E4">
        <w:rPr>
          <w:rFonts w:ascii="Calibri" w:hAnsi="Calibri" w:cs="Calibri"/>
          <w:sz w:val="24"/>
          <w:szCs w:val="24"/>
        </w:rPr>
        <w:t xml:space="preserve"> y </w:t>
      </w:r>
      <w:r w:rsidRPr="008711E4">
        <w:rPr>
          <w:rFonts w:ascii="Calibri" w:hAnsi="Calibri" w:cs="Calibri"/>
          <w:i/>
          <w:iCs/>
          <w:sz w:val="24"/>
          <w:szCs w:val="24"/>
        </w:rPr>
        <w:t>Winterstein y otros c. Francia</w:t>
      </w:r>
      <w:r w:rsidRPr="008711E4">
        <w:rPr>
          <w:rFonts w:ascii="Calibri" w:hAnsi="Calibri" w:cs="Calibri"/>
          <w:sz w:val="24"/>
          <w:szCs w:val="24"/>
        </w:rPr>
        <w:t>):</w:t>
      </w:r>
    </w:p>
    <w:p w14:paraId="5C883ACD" w14:textId="77777777" w:rsidR="00244E30" w:rsidRPr="008711E4" w:rsidRDefault="00244E30" w:rsidP="00244E30">
      <w:pPr>
        <w:jc w:val="both"/>
        <w:rPr>
          <w:rFonts w:ascii="Calibri" w:hAnsi="Calibri" w:cs="Calibri"/>
          <w:i/>
          <w:iCs/>
          <w:sz w:val="24"/>
          <w:szCs w:val="24"/>
        </w:rPr>
      </w:pPr>
      <w:r w:rsidRPr="008711E4">
        <w:rPr>
          <w:rFonts w:ascii="Calibri" w:hAnsi="Calibri" w:cs="Calibri"/>
          <w:i/>
          <w:iCs/>
          <w:sz w:val="24"/>
          <w:szCs w:val="24"/>
        </w:rPr>
        <w:lastRenderedPageBreak/>
        <w:t>«...resulta obligado valorar diversos factores, entre otros que la recuperación se refiera, en su caso, a terrenos cuya ocupación ha sido tolerada desde tiempo atrás; que existan o no otros medios para resolver el problema...»</w:t>
      </w:r>
    </w:p>
    <w:p w14:paraId="7144AEB9" w14:textId="77777777" w:rsidR="00244E30" w:rsidRPr="008711E4" w:rsidRDefault="00244E30" w:rsidP="00244E30">
      <w:pPr>
        <w:jc w:val="both"/>
        <w:rPr>
          <w:rFonts w:ascii="Calibri" w:hAnsi="Calibri" w:cs="Calibri"/>
          <w:sz w:val="24"/>
          <w:szCs w:val="24"/>
        </w:rPr>
      </w:pPr>
      <w:r w:rsidRPr="008711E4">
        <w:rPr>
          <w:rFonts w:ascii="Calibri" w:hAnsi="Calibri" w:cs="Calibri"/>
          <w:sz w:val="24"/>
          <w:szCs w:val="24"/>
        </w:rPr>
        <w:t>La Administración ha permitido la existencia de estas líneas y centros de transformación durante años. Su eliminación repentina, sin una alternativa habitacional o de suministro garantizada, contradice la doctrina del TEDH sobre asentamientos consolidados.</w:t>
      </w:r>
    </w:p>
    <w:p w14:paraId="72EFF0C1" w14:textId="77777777" w:rsidR="00244E30" w:rsidRPr="008711E4" w:rsidRDefault="00244E30" w:rsidP="00244E30">
      <w:pPr>
        <w:rPr>
          <w:rFonts w:ascii="Calibri" w:hAnsi="Calibri" w:cs="Calibri"/>
          <w:sz w:val="24"/>
          <w:szCs w:val="24"/>
        </w:rPr>
      </w:pPr>
      <w:r w:rsidRPr="008711E4">
        <w:rPr>
          <w:rFonts w:ascii="Calibri" w:hAnsi="Calibri" w:cs="Calibri"/>
          <w:b/>
          <w:bCs/>
          <w:sz w:val="24"/>
          <w:szCs w:val="24"/>
        </w:rPr>
        <w:t>NOVENO.- Desviación de poder y denominación engañosa.</w:t>
      </w:r>
    </w:p>
    <w:p w14:paraId="79F41E8F" w14:textId="32585CCA"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La </w:t>
      </w:r>
      <w:r w:rsidR="008711E4">
        <w:rPr>
          <w:rFonts w:ascii="Calibri" w:hAnsi="Calibri" w:cs="Calibri"/>
          <w:sz w:val="24"/>
          <w:szCs w:val="24"/>
        </w:rPr>
        <w:t>R</w:t>
      </w:r>
      <w:r w:rsidRPr="008711E4">
        <w:rPr>
          <w:rFonts w:ascii="Calibri" w:hAnsi="Calibri" w:cs="Calibri"/>
          <w:sz w:val="24"/>
          <w:szCs w:val="24"/>
        </w:rPr>
        <w:t xml:space="preserve">esolución </w:t>
      </w:r>
      <w:r w:rsidR="008711E4">
        <w:rPr>
          <w:rFonts w:ascii="Calibri" w:hAnsi="Calibri" w:cs="Calibri"/>
          <w:sz w:val="24"/>
          <w:szCs w:val="24"/>
        </w:rPr>
        <w:t xml:space="preserve">impugnada </w:t>
      </w:r>
      <w:r w:rsidRPr="008711E4">
        <w:rPr>
          <w:rFonts w:ascii="Calibri" w:hAnsi="Calibri" w:cs="Calibri"/>
          <w:sz w:val="24"/>
          <w:szCs w:val="24"/>
        </w:rPr>
        <w:t>describe la actuación en términos de "mejora", cuando el efecto material es el desmontaje y "desinstalación". Esto puede constituir una desviación de poder (usar una potestad administrativa para un fin distinto del previsto).</w:t>
      </w:r>
    </w:p>
    <w:p w14:paraId="25455D4B" w14:textId="08BAC8AD" w:rsidR="00244E30" w:rsidRPr="008711E4" w:rsidRDefault="00244E30" w:rsidP="00244E30">
      <w:pPr>
        <w:jc w:val="both"/>
        <w:rPr>
          <w:rFonts w:ascii="Calibri" w:hAnsi="Calibri" w:cs="Calibri"/>
          <w:sz w:val="24"/>
          <w:szCs w:val="24"/>
        </w:rPr>
      </w:pPr>
      <w:r w:rsidRPr="008711E4">
        <w:rPr>
          <w:rFonts w:ascii="Calibri" w:hAnsi="Calibri" w:cs="Calibri"/>
          <w:sz w:val="24"/>
          <w:szCs w:val="24"/>
        </w:rPr>
        <w:t>La potestad de autorizar instalaciones eléctricas (</w:t>
      </w:r>
      <w:r w:rsidR="008711E4">
        <w:rPr>
          <w:rFonts w:ascii="Calibri" w:hAnsi="Calibri" w:cs="Calibri"/>
          <w:sz w:val="24"/>
          <w:szCs w:val="24"/>
        </w:rPr>
        <w:t>artículo</w:t>
      </w:r>
      <w:r w:rsidRPr="008711E4">
        <w:rPr>
          <w:rFonts w:ascii="Calibri" w:hAnsi="Calibri" w:cs="Calibri"/>
          <w:sz w:val="24"/>
          <w:szCs w:val="24"/>
        </w:rPr>
        <w:t xml:space="preserve"> 53 Ley 24/2013) se está utilizando para desmantelar la red preexistente en un sector en conflicto social, eludiendo el procedimiento de realojo o regularización previsto en la Ley 2/2011, de 15 de marzo, de la Cañada Real Galiana.</w:t>
      </w:r>
    </w:p>
    <w:p w14:paraId="7118DE22" w14:textId="77777777" w:rsidR="00244E30" w:rsidRPr="008711E4" w:rsidRDefault="00244E30" w:rsidP="00244E30">
      <w:pPr>
        <w:rPr>
          <w:rFonts w:ascii="Calibri" w:hAnsi="Calibri" w:cs="Calibri"/>
          <w:b/>
          <w:bCs/>
          <w:sz w:val="24"/>
          <w:szCs w:val="24"/>
        </w:rPr>
      </w:pPr>
      <w:r w:rsidRPr="008711E4">
        <w:rPr>
          <w:rFonts w:ascii="Calibri" w:hAnsi="Calibri" w:cs="Calibri"/>
          <w:b/>
          <w:bCs/>
          <w:sz w:val="24"/>
          <w:szCs w:val="24"/>
        </w:rPr>
        <w:t>DÉCIMO.- Afectación a derechos fundamentales (inviolabilidad del domicilio y otros).</w:t>
      </w:r>
    </w:p>
    <w:p w14:paraId="620EC106" w14:textId="77777777" w:rsidR="00244E30" w:rsidRPr="008711E4" w:rsidRDefault="00244E30" w:rsidP="00244E30">
      <w:pPr>
        <w:jc w:val="both"/>
        <w:rPr>
          <w:rFonts w:ascii="Calibri" w:hAnsi="Calibri" w:cs="Calibri"/>
          <w:sz w:val="24"/>
          <w:szCs w:val="24"/>
        </w:rPr>
      </w:pPr>
      <w:r w:rsidRPr="008711E4">
        <w:rPr>
          <w:rFonts w:ascii="Calibri" w:hAnsi="Calibri" w:cs="Calibri"/>
          <w:sz w:val="24"/>
          <w:szCs w:val="24"/>
        </w:rPr>
        <w:t>La jurisprudencia reciente exige medidas concretas antes de cualquier acto que suponga un desalojo o cese de uso de servicios esenciales.</w:t>
      </w:r>
    </w:p>
    <w:p w14:paraId="6B0FFAFD" w14:textId="77777777" w:rsidR="00244E30" w:rsidRPr="008711E4" w:rsidRDefault="00244E30" w:rsidP="00244E30">
      <w:pPr>
        <w:jc w:val="both"/>
        <w:rPr>
          <w:rFonts w:ascii="Calibri" w:hAnsi="Calibri" w:cs="Calibri"/>
          <w:sz w:val="24"/>
          <w:szCs w:val="24"/>
        </w:rPr>
      </w:pPr>
      <w:r w:rsidRPr="008711E4">
        <w:rPr>
          <w:rFonts w:ascii="Calibri" w:hAnsi="Calibri" w:cs="Calibri"/>
          <w:sz w:val="24"/>
          <w:szCs w:val="24"/>
        </w:rPr>
        <w:t>Como indica el Tribunal Superior de Justicia (Roj: STSJ M 8050:2025):</w:t>
      </w:r>
    </w:p>
    <w:p w14:paraId="5F1CA6C2" w14:textId="77777777" w:rsidR="00244E30" w:rsidRPr="008711E4" w:rsidRDefault="00244E30" w:rsidP="00244E30">
      <w:pPr>
        <w:jc w:val="both"/>
        <w:rPr>
          <w:rFonts w:ascii="Calibri" w:hAnsi="Calibri" w:cs="Calibri"/>
          <w:i/>
          <w:iCs/>
          <w:sz w:val="24"/>
          <w:szCs w:val="24"/>
        </w:rPr>
      </w:pPr>
      <w:r w:rsidRPr="008711E4">
        <w:rPr>
          <w:rFonts w:ascii="Calibri" w:hAnsi="Calibri" w:cs="Calibri"/>
          <w:i/>
          <w:iCs/>
          <w:sz w:val="24"/>
          <w:szCs w:val="24"/>
        </w:rPr>
        <w:t>«...la Administración debe comunicarle en el momento de solicitar la autorización qué medidas adopta para paliar en lo posible las consecuencias perjudiciales del desalojo para las personas vulnerables, especialmente menores.»</w:t>
      </w:r>
    </w:p>
    <w:p w14:paraId="69363B10" w14:textId="4849B402"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Si bien la </w:t>
      </w:r>
      <w:r w:rsidR="008711E4">
        <w:rPr>
          <w:rFonts w:ascii="Calibri" w:hAnsi="Calibri" w:cs="Calibri"/>
          <w:sz w:val="24"/>
          <w:szCs w:val="24"/>
        </w:rPr>
        <w:t>R</w:t>
      </w:r>
      <w:r w:rsidRPr="008711E4">
        <w:rPr>
          <w:rFonts w:ascii="Calibri" w:hAnsi="Calibri" w:cs="Calibri"/>
          <w:sz w:val="24"/>
          <w:szCs w:val="24"/>
        </w:rPr>
        <w:t>esolución impugnada no constituye formalmente un "desalojo" físico, el desmontaje de la red eléctrica que da soporte a las viviendas de la zona produce un efecto equivalente sobre el acceso a un servicio esencia</w:t>
      </w:r>
      <w:r w:rsidR="00AE3B31" w:rsidRPr="008711E4">
        <w:rPr>
          <w:rFonts w:ascii="Calibri" w:hAnsi="Calibri" w:cs="Calibri"/>
          <w:sz w:val="24"/>
          <w:szCs w:val="24"/>
        </w:rPr>
        <w:t>l</w:t>
      </w:r>
      <w:r w:rsidRPr="008711E4">
        <w:rPr>
          <w:rFonts w:ascii="Calibri" w:hAnsi="Calibri" w:cs="Calibri"/>
          <w:sz w:val="24"/>
          <w:szCs w:val="24"/>
        </w:rPr>
        <w:t>, que exigiría a la Administración adoptar medidas paliativas simultáneas, las cuales no constan en el expediente administrativo.</w:t>
      </w:r>
    </w:p>
    <w:p w14:paraId="6084C5CD" w14:textId="77777777" w:rsidR="00244E30" w:rsidRPr="008711E4" w:rsidRDefault="00244E30" w:rsidP="00244E30">
      <w:pPr>
        <w:jc w:val="both"/>
        <w:rPr>
          <w:rFonts w:ascii="Calibri" w:hAnsi="Calibri" w:cs="Calibri"/>
          <w:sz w:val="24"/>
          <w:szCs w:val="24"/>
        </w:rPr>
      </w:pPr>
      <w:r w:rsidRPr="008711E4">
        <w:rPr>
          <w:rFonts w:ascii="Calibri" w:hAnsi="Calibri" w:cs="Calibri"/>
          <w:b/>
          <w:bCs/>
          <w:sz w:val="24"/>
          <w:szCs w:val="24"/>
        </w:rPr>
        <w:t>UNDÉCIMO.- Inexistencia de medidas paliativas para colectivos de especial protección</w:t>
      </w:r>
      <w:r w:rsidRPr="008711E4">
        <w:rPr>
          <w:rFonts w:ascii="Calibri" w:hAnsi="Calibri" w:cs="Calibri"/>
          <w:sz w:val="24"/>
          <w:szCs w:val="24"/>
        </w:rPr>
        <w:t xml:space="preserve">. </w:t>
      </w:r>
    </w:p>
    <w:p w14:paraId="60A54660" w14:textId="6EB2DDD3" w:rsidR="00244E30" w:rsidRPr="008711E4" w:rsidRDefault="00244E30" w:rsidP="00244E30">
      <w:pPr>
        <w:jc w:val="both"/>
        <w:rPr>
          <w:rFonts w:ascii="Calibri" w:hAnsi="Calibri" w:cs="Calibri"/>
          <w:sz w:val="24"/>
          <w:szCs w:val="24"/>
        </w:rPr>
      </w:pPr>
      <w:r w:rsidRPr="00A645D2">
        <w:rPr>
          <w:rFonts w:ascii="Calibri" w:hAnsi="Calibri" w:cs="Calibri"/>
          <w:b/>
          <w:bCs/>
          <w:sz w:val="24"/>
          <w:szCs w:val="24"/>
        </w:rPr>
        <w:t xml:space="preserve">Consta en el Sector </w:t>
      </w:r>
      <w:r w:rsidR="00A645D2" w:rsidRPr="00A645D2">
        <w:rPr>
          <w:rFonts w:ascii="Calibri" w:hAnsi="Calibri" w:cs="Calibri"/>
          <w:b/>
          <w:bCs/>
          <w:sz w:val="24"/>
          <w:szCs w:val="24"/>
        </w:rPr>
        <w:t>6</w:t>
      </w:r>
      <w:r w:rsidRPr="00A645D2">
        <w:rPr>
          <w:rFonts w:ascii="Calibri" w:hAnsi="Calibri" w:cs="Calibri"/>
          <w:b/>
          <w:bCs/>
          <w:sz w:val="24"/>
          <w:szCs w:val="24"/>
        </w:rPr>
        <w:t xml:space="preserve"> la presencia de numeros</w:t>
      </w:r>
      <w:r w:rsidR="008711E4" w:rsidRPr="00A645D2">
        <w:rPr>
          <w:rFonts w:ascii="Calibri" w:hAnsi="Calibri" w:cs="Calibri"/>
          <w:b/>
          <w:bCs/>
          <w:sz w:val="24"/>
          <w:szCs w:val="24"/>
        </w:rPr>
        <w:t>o</w:t>
      </w:r>
      <w:r w:rsidRPr="00A645D2">
        <w:rPr>
          <w:rFonts w:ascii="Calibri" w:hAnsi="Calibri" w:cs="Calibri"/>
          <w:b/>
          <w:bCs/>
          <w:sz w:val="24"/>
          <w:szCs w:val="24"/>
        </w:rPr>
        <w:t>s niñ</w:t>
      </w:r>
      <w:r w:rsidR="008711E4" w:rsidRPr="00A645D2">
        <w:rPr>
          <w:rFonts w:ascii="Calibri" w:hAnsi="Calibri" w:cs="Calibri"/>
          <w:b/>
          <w:bCs/>
          <w:sz w:val="24"/>
          <w:szCs w:val="24"/>
        </w:rPr>
        <w:t>o</w:t>
      </w:r>
      <w:r w:rsidRPr="00A645D2">
        <w:rPr>
          <w:rFonts w:ascii="Calibri" w:hAnsi="Calibri" w:cs="Calibri"/>
          <w:b/>
          <w:bCs/>
          <w:sz w:val="24"/>
          <w:szCs w:val="24"/>
        </w:rPr>
        <w:t>s, niñ</w:t>
      </w:r>
      <w:r w:rsidR="008711E4" w:rsidRPr="00A645D2">
        <w:rPr>
          <w:rFonts w:ascii="Calibri" w:hAnsi="Calibri" w:cs="Calibri"/>
          <w:b/>
          <w:bCs/>
          <w:sz w:val="24"/>
          <w:szCs w:val="24"/>
        </w:rPr>
        <w:t>a</w:t>
      </w:r>
      <w:r w:rsidRPr="00A645D2">
        <w:rPr>
          <w:rFonts w:ascii="Calibri" w:hAnsi="Calibri" w:cs="Calibri"/>
          <w:b/>
          <w:bCs/>
          <w:sz w:val="24"/>
          <w:szCs w:val="24"/>
        </w:rPr>
        <w:t>s y adolescentes y personas con discapacidad.</w:t>
      </w:r>
      <w:r w:rsidRPr="008711E4">
        <w:rPr>
          <w:rFonts w:ascii="Calibri" w:hAnsi="Calibri" w:cs="Calibri"/>
          <w:sz w:val="24"/>
          <w:szCs w:val="24"/>
        </w:rPr>
        <w:t xml:space="preserve"> La </w:t>
      </w:r>
      <w:r w:rsidR="008711E4">
        <w:rPr>
          <w:rFonts w:ascii="Calibri" w:hAnsi="Calibri" w:cs="Calibri"/>
          <w:sz w:val="24"/>
          <w:szCs w:val="24"/>
        </w:rPr>
        <w:t>R</w:t>
      </w:r>
      <w:r w:rsidRPr="008711E4">
        <w:rPr>
          <w:rFonts w:ascii="Calibri" w:hAnsi="Calibri" w:cs="Calibri"/>
          <w:sz w:val="24"/>
          <w:szCs w:val="24"/>
        </w:rPr>
        <w:t>esolución impugnada autoriza el desmontaje de elementos de red sin que conste en el expediente un informe de impacto social o la previsión de medidas para garantizar que estas personas no queden en situación de riesgo vital por falta de suministro, vulnerando el interés superior de</w:t>
      </w:r>
      <w:r w:rsidR="008711E4">
        <w:rPr>
          <w:rFonts w:ascii="Calibri" w:hAnsi="Calibri" w:cs="Calibri"/>
          <w:sz w:val="24"/>
          <w:szCs w:val="24"/>
        </w:rPr>
        <w:t xml:space="preserve"> la infancia </w:t>
      </w:r>
      <w:r w:rsidRPr="008711E4">
        <w:rPr>
          <w:rFonts w:ascii="Calibri" w:hAnsi="Calibri" w:cs="Calibri"/>
          <w:sz w:val="24"/>
          <w:szCs w:val="24"/>
        </w:rPr>
        <w:t xml:space="preserve">(artículo 39 Constitución </w:t>
      </w:r>
      <w:r w:rsidR="008711E4">
        <w:rPr>
          <w:rFonts w:ascii="Calibri" w:hAnsi="Calibri" w:cs="Calibri"/>
          <w:sz w:val="24"/>
          <w:szCs w:val="24"/>
        </w:rPr>
        <w:t xml:space="preserve">Española </w:t>
      </w:r>
      <w:r w:rsidRPr="008711E4">
        <w:rPr>
          <w:rFonts w:ascii="Calibri" w:hAnsi="Calibri" w:cs="Calibri"/>
          <w:sz w:val="24"/>
          <w:szCs w:val="24"/>
        </w:rPr>
        <w:t xml:space="preserve">y </w:t>
      </w:r>
      <w:r w:rsidR="00AE3B31" w:rsidRPr="008711E4">
        <w:rPr>
          <w:rFonts w:ascii="Calibri" w:hAnsi="Calibri" w:cs="Calibri"/>
          <w:sz w:val="24"/>
          <w:szCs w:val="24"/>
        </w:rPr>
        <w:t xml:space="preserve">Ley Orgánica </w:t>
      </w:r>
      <w:r w:rsidR="008711E4">
        <w:rPr>
          <w:rFonts w:ascii="Calibri" w:hAnsi="Calibri" w:cs="Calibri"/>
          <w:sz w:val="24"/>
          <w:szCs w:val="24"/>
        </w:rPr>
        <w:t xml:space="preserve">1/1996 </w:t>
      </w:r>
      <w:r w:rsidR="00AE3B31" w:rsidRPr="008711E4">
        <w:rPr>
          <w:rFonts w:ascii="Calibri" w:hAnsi="Calibri" w:cs="Calibri"/>
          <w:sz w:val="24"/>
          <w:szCs w:val="24"/>
        </w:rPr>
        <w:t>de Protección Jurídica del Menor</w:t>
      </w:r>
      <w:r w:rsidR="008711E4">
        <w:rPr>
          <w:rFonts w:ascii="Calibri" w:hAnsi="Calibri" w:cs="Calibri"/>
          <w:sz w:val="24"/>
          <w:szCs w:val="24"/>
        </w:rPr>
        <w:t>)</w:t>
      </w:r>
      <w:r w:rsidR="00AE3B31" w:rsidRPr="008711E4">
        <w:rPr>
          <w:rFonts w:ascii="Calibri" w:hAnsi="Calibri" w:cs="Calibri"/>
          <w:sz w:val="24"/>
          <w:szCs w:val="24"/>
        </w:rPr>
        <w:t xml:space="preserve"> </w:t>
      </w:r>
      <w:r w:rsidRPr="008711E4">
        <w:rPr>
          <w:rFonts w:ascii="Calibri" w:hAnsi="Calibri" w:cs="Calibri"/>
          <w:sz w:val="24"/>
          <w:szCs w:val="24"/>
        </w:rPr>
        <w:t>y el derecho a la accesibilidad universal.</w:t>
      </w:r>
    </w:p>
    <w:p w14:paraId="3F89C936" w14:textId="77777777" w:rsidR="00244E30" w:rsidRPr="008711E4" w:rsidRDefault="00244E30" w:rsidP="00244E30">
      <w:pPr>
        <w:jc w:val="both"/>
        <w:rPr>
          <w:rFonts w:ascii="Calibri" w:hAnsi="Calibri" w:cs="Calibri"/>
          <w:sz w:val="24"/>
          <w:szCs w:val="24"/>
        </w:rPr>
      </w:pPr>
      <w:r w:rsidRPr="008711E4">
        <w:rPr>
          <w:rFonts w:ascii="Calibri" w:hAnsi="Calibri" w:cs="Calibri"/>
          <w:b/>
          <w:bCs/>
          <w:sz w:val="24"/>
          <w:szCs w:val="24"/>
        </w:rPr>
        <w:t>DUODÉCIMO.-</w:t>
      </w:r>
      <w:r w:rsidRPr="008711E4">
        <w:rPr>
          <w:rFonts w:ascii="Calibri" w:hAnsi="Calibri" w:cs="Calibri"/>
          <w:sz w:val="24"/>
          <w:szCs w:val="24"/>
        </w:rPr>
        <w:t xml:space="preserve"> Los propios tribunales españoles han señalado que la solución de este conflicto corresponde a la Administración, no a la vía penal.</w:t>
      </w:r>
    </w:p>
    <w:p w14:paraId="23F8EB85" w14:textId="77777777"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Resulta especialmente relevante que los órganos judiciales que han conocido de los hechos relacionados con el corte de suministro eléctrico en los Sectores 5 y 6 de la Cañada </w:t>
      </w:r>
      <w:r w:rsidRPr="008711E4">
        <w:rPr>
          <w:rFonts w:ascii="Calibri" w:hAnsi="Calibri" w:cs="Calibri"/>
          <w:sz w:val="24"/>
          <w:szCs w:val="24"/>
        </w:rPr>
        <w:lastRenderedPageBreak/>
        <w:t>Real han señalado, de forma reiterada, que la solución del problema excede el ámbito de sus competencias y corresponde a la Administración Pública.</w:t>
      </w:r>
    </w:p>
    <w:p w14:paraId="1F700B0F" w14:textId="77777777"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Así, el Auto de la Audiencia Provincial de Madrid (Sección 16ª) de 26 de mayo de 2021 (Auto 409/2021), recaído en las Diligencias Previas 2163/2020 del Juzgado de Instrucción </w:t>
      </w:r>
      <w:proofErr w:type="spellStart"/>
      <w:r w:rsidRPr="008711E4">
        <w:rPr>
          <w:rFonts w:ascii="Calibri" w:hAnsi="Calibri" w:cs="Calibri"/>
          <w:sz w:val="24"/>
          <w:szCs w:val="24"/>
        </w:rPr>
        <w:t>nº</w:t>
      </w:r>
      <w:proofErr w:type="spellEnd"/>
      <w:r w:rsidRPr="008711E4">
        <w:rPr>
          <w:rFonts w:ascii="Calibri" w:hAnsi="Calibri" w:cs="Calibri"/>
          <w:sz w:val="24"/>
          <w:szCs w:val="24"/>
        </w:rPr>
        <w:t xml:space="preserve"> 42 de Madrid, señala que nos hallamos ante “un grave problema social, con repercusión en colectivos vulnerables”, cuya solución “no puede abordarse a golpe de Código Penal”.</w:t>
      </w:r>
    </w:p>
    <w:p w14:paraId="28650BB4" w14:textId="77777777"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En el mismo sentido, el Auto 599/2023 del Juzgado de Instrucción </w:t>
      </w:r>
      <w:proofErr w:type="spellStart"/>
      <w:r w:rsidRPr="008711E4">
        <w:rPr>
          <w:rFonts w:ascii="Calibri" w:hAnsi="Calibri" w:cs="Calibri"/>
          <w:sz w:val="24"/>
          <w:szCs w:val="24"/>
        </w:rPr>
        <w:t>nº</w:t>
      </w:r>
      <w:proofErr w:type="spellEnd"/>
      <w:r w:rsidRPr="008711E4">
        <w:rPr>
          <w:rFonts w:ascii="Calibri" w:hAnsi="Calibri" w:cs="Calibri"/>
          <w:sz w:val="24"/>
          <w:szCs w:val="24"/>
        </w:rPr>
        <w:t xml:space="preserve"> 42 de Madrid, de 24 de marzo de 2023, que acordó el sobreseimiento definitivo de dicha causa, concluye expresamente que “el grave problema social surtido en dichos dos Sectores de la Cañada Real [...] debe obtener la pertinente respuesta de la Administración Pública, tratándose [...] de una problemática social ajena al presente procedimiento penal”.</w:t>
      </w:r>
    </w:p>
    <w:p w14:paraId="477EB648" w14:textId="77777777" w:rsidR="00244E30" w:rsidRDefault="00244E30" w:rsidP="00244E30">
      <w:pPr>
        <w:jc w:val="both"/>
        <w:rPr>
          <w:rFonts w:ascii="Calibri" w:hAnsi="Calibri" w:cs="Calibri"/>
          <w:sz w:val="24"/>
          <w:szCs w:val="24"/>
        </w:rPr>
      </w:pPr>
      <w:r w:rsidRPr="008711E4">
        <w:rPr>
          <w:rFonts w:ascii="Calibri" w:hAnsi="Calibri" w:cs="Calibri"/>
          <w:sz w:val="24"/>
          <w:szCs w:val="24"/>
        </w:rPr>
        <w:t>La Administración no puede, por tanto, ampararse en la existencia de causas judiciales relacionadas con el corte de suministro para justificar su inacción o para eludir una valoración propia y motivada de la situación, cuando son los propios órganos judiciales quienes han declarado que la resolución del conflicto les es ajena y compete a la Administración.</w:t>
      </w:r>
    </w:p>
    <w:p w14:paraId="327407EF" w14:textId="7519B8E4" w:rsidR="006926DB" w:rsidRPr="008711E4" w:rsidRDefault="006926DB" w:rsidP="00244E30">
      <w:pPr>
        <w:jc w:val="both"/>
        <w:rPr>
          <w:rFonts w:ascii="Calibri" w:hAnsi="Calibri" w:cs="Calibri"/>
          <w:sz w:val="24"/>
          <w:szCs w:val="24"/>
        </w:rPr>
      </w:pPr>
      <w:r>
        <w:rPr>
          <w:rFonts w:ascii="Calibri" w:hAnsi="Calibri" w:cs="Calibri"/>
          <w:sz w:val="24"/>
          <w:szCs w:val="24"/>
        </w:rPr>
        <w:t>Por todo lo anterior,</w:t>
      </w:r>
    </w:p>
    <w:p w14:paraId="6323C358" w14:textId="77777777" w:rsidR="00244E30" w:rsidRPr="008711E4" w:rsidRDefault="00244E30" w:rsidP="00244E30">
      <w:pPr>
        <w:jc w:val="both"/>
        <w:rPr>
          <w:rFonts w:ascii="Calibri" w:hAnsi="Calibri" w:cs="Calibri"/>
          <w:sz w:val="24"/>
          <w:szCs w:val="24"/>
        </w:rPr>
      </w:pPr>
      <w:r w:rsidRPr="008711E4">
        <w:rPr>
          <w:rFonts w:ascii="Calibri" w:hAnsi="Calibri" w:cs="Calibri"/>
          <w:b/>
          <w:bCs/>
          <w:sz w:val="24"/>
          <w:szCs w:val="24"/>
        </w:rPr>
        <w:t>SOLICITA</w:t>
      </w:r>
      <w:r w:rsidRPr="008711E4">
        <w:rPr>
          <w:rFonts w:ascii="Calibri" w:hAnsi="Calibri" w:cs="Calibri"/>
          <w:sz w:val="24"/>
          <w:szCs w:val="24"/>
        </w:rPr>
        <w:t xml:space="preserve"> que se admita este recurso de alzada y en su virtud:</w:t>
      </w:r>
    </w:p>
    <w:p w14:paraId="6E09E2FA" w14:textId="68E83C20" w:rsidR="00244E30" w:rsidRPr="008711E4" w:rsidRDefault="00244E30" w:rsidP="00244E30">
      <w:pPr>
        <w:jc w:val="both"/>
        <w:rPr>
          <w:rFonts w:ascii="Calibri" w:hAnsi="Calibri" w:cs="Calibri"/>
          <w:sz w:val="24"/>
          <w:szCs w:val="24"/>
        </w:rPr>
      </w:pPr>
      <w:r w:rsidRPr="008711E4">
        <w:rPr>
          <w:rFonts w:ascii="Calibri" w:hAnsi="Calibri" w:cs="Calibri"/>
          <w:b/>
          <w:bCs/>
          <w:sz w:val="24"/>
          <w:szCs w:val="24"/>
        </w:rPr>
        <w:t>PRIMERO.-</w:t>
      </w:r>
      <w:r w:rsidRPr="008711E4">
        <w:rPr>
          <w:rFonts w:ascii="Calibri" w:hAnsi="Calibri" w:cs="Calibri"/>
          <w:sz w:val="24"/>
          <w:szCs w:val="24"/>
        </w:rPr>
        <w:t xml:space="preserve"> Se acuerde la suspensión cautelar de la eficacia de la </w:t>
      </w:r>
      <w:r w:rsidR="008711E4">
        <w:rPr>
          <w:rFonts w:ascii="Calibri" w:hAnsi="Calibri" w:cs="Calibri"/>
          <w:sz w:val="24"/>
          <w:szCs w:val="24"/>
        </w:rPr>
        <w:t>R</w:t>
      </w:r>
      <w:r w:rsidRPr="008711E4">
        <w:rPr>
          <w:rFonts w:ascii="Calibri" w:hAnsi="Calibri" w:cs="Calibri"/>
          <w:sz w:val="24"/>
          <w:szCs w:val="24"/>
        </w:rPr>
        <w:t xml:space="preserve">esolución </w:t>
      </w:r>
      <w:r w:rsidR="008711E4">
        <w:rPr>
          <w:rFonts w:ascii="Calibri" w:hAnsi="Calibri" w:cs="Calibri"/>
          <w:sz w:val="24"/>
          <w:szCs w:val="24"/>
        </w:rPr>
        <w:t>impugnada</w:t>
      </w:r>
      <w:r w:rsidRPr="008711E4">
        <w:rPr>
          <w:rFonts w:ascii="Calibri" w:hAnsi="Calibri" w:cs="Calibri"/>
          <w:sz w:val="24"/>
          <w:szCs w:val="24"/>
        </w:rPr>
        <w:t xml:space="preserve"> al amparo del artículo 117 de la Ley 39/2015, dada la posibilidad de perjuicios irreparables o de difícil reparación derivados de la ejecución de las actuaciones autorizadas.</w:t>
      </w:r>
    </w:p>
    <w:p w14:paraId="0C559320" w14:textId="77777777" w:rsidR="00244E30" w:rsidRPr="008711E4" w:rsidRDefault="00244E30" w:rsidP="00244E30">
      <w:pPr>
        <w:jc w:val="both"/>
        <w:rPr>
          <w:rFonts w:ascii="Calibri" w:hAnsi="Calibri" w:cs="Calibri"/>
          <w:sz w:val="24"/>
          <w:szCs w:val="24"/>
        </w:rPr>
      </w:pPr>
      <w:r w:rsidRPr="008711E4">
        <w:rPr>
          <w:rFonts w:ascii="Calibri" w:hAnsi="Calibri" w:cs="Calibri"/>
          <w:b/>
          <w:bCs/>
          <w:sz w:val="24"/>
          <w:szCs w:val="24"/>
        </w:rPr>
        <w:t>SEGUNDO.-</w:t>
      </w:r>
      <w:r w:rsidRPr="008711E4">
        <w:rPr>
          <w:rFonts w:ascii="Calibri" w:hAnsi="Calibri" w:cs="Calibri"/>
          <w:sz w:val="24"/>
          <w:szCs w:val="24"/>
        </w:rPr>
        <w:t xml:space="preserve"> Se declare la nulidad o subsidiariamente anulabilidad de la Resolución impugnada.</w:t>
      </w:r>
    </w:p>
    <w:p w14:paraId="49F9E14E" w14:textId="77777777" w:rsidR="00244E30" w:rsidRPr="008711E4" w:rsidRDefault="00244E30" w:rsidP="00244E30">
      <w:pPr>
        <w:jc w:val="both"/>
        <w:rPr>
          <w:rFonts w:ascii="Calibri" w:hAnsi="Calibri" w:cs="Calibri"/>
          <w:sz w:val="24"/>
          <w:szCs w:val="24"/>
        </w:rPr>
      </w:pPr>
      <w:r w:rsidRPr="008711E4">
        <w:rPr>
          <w:rFonts w:ascii="Calibri" w:hAnsi="Calibri" w:cs="Calibri"/>
          <w:b/>
          <w:bCs/>
          <w:sz w:val="24"/>
          <w:szCs w:val="24"/>
        </w:rPr>
        <w:t>TERCERO.-</w:t>
      </w:r>
      <w:r w:rsidRPr="008711E4">
        <w:rPr>
          <w:rFonts w:ascii="Calibri" w:hAnsi="Calibri" w:cs="Calibri"/>
          <w:sz w:val="24"/>
          <w:szCs w:val="24"/>
        </w:rPr>
        <w:t xml:space="preserve"> Se dé traslado del expediente y de este recurso a las instituciones cuya intervención resulta pertinente dada la magnitud de la actuación y su potencial impacto social, en particular: Defensor del Pueblo; organismos responsables del seguimiento de obligaciones internacionales asumidas por España,</w:t>
      </w:r>
      <w:r w:rsidRPr="008711E4">
        <w:rPr>
          <w:rFonts w:ascii="Calibri" w:eastAsia="Times New Roman" w:hAnsi="Calibri" w:cs="Calibri"/>
          <w:sz w:val="24"/>
          <w:szCs w:val="24"/>
          <w:lang w:eastAsia="es-ES_tradnl"/>
        </w:rPr>
        <w:t xml:space="preserve"> </w:t>
      </w:r>
      <w:r w:rsidRPr="008711E4">
        <w:rPr>
          <w:rFonts w:ascii="Calibri" w:hAnsi="Calibri" w:cs="Calibri"/>
          <w:sz w:val="24"/>
          <w:szCs w:val="24"/>
        </w:rPr>
        <w:t xml:space="preserve">en particular en relación con la Decisión sobre el Fondo del Comité Europeo de Derechos Sociales en la Reclamación Colectiva </w:t>
      </w:r>
      <w:proofErr w:type="spellStart"/>
      <w:r w:rsidRPr="008711E4">
        <w:rPr>
          <w:rFonts w:ascii="Calibri" w:hAnsi="Calibri" w:cs="Calibri"/>
          <w:sz w:val="24"/>
          <w:szCs w:val="24"/>
        </w:rPr>
        <w:t>nº</w:t>
      </w:r>
      <w:proofErr w:type="spellEnd"/>
      <w:r w:rsidRPr="008711E4">
        <w:rPr>
          <w:rFonts w:ascii="Calibri" w:hAnsi="Calibri" w:cs="Calibri"/>
          <w:sz w:val="24"/>
          <w:szCs w:val="24"/>
        </w:rPr>
        <w:t xml:space="preserve"> 206/2022.</w:t>
      </w:r>
    </w:p>
    <w:p w14:paraId="12454D66" w14:textId="5A0E5068" w:rsidR="00244E30" w:rsidRDefault="00244E30" w:rsidP="00244E30">
      <w:pPr>
        <w:rPr>
          <w:rFonts w:ascii="Calibri" w:hAnsi="Calibri" w:cs="Calibri"/>
          <w:sz w:val="24"/>
          <w:szCs w:val="24"/>
        </w:rPr>
      </w:pPr>
      <w:r w:rsidRPr="008711E4">
        <w:rPr>
          <w:rFonts w:ascii="Calibri" w:hAnsi="Calibri" w:cs="Calibri"/>
          <w:sz w:val="24"/>
          <w:szCs w:val="24"/>
        </w:rPr>
        <w:t xml:space="preserve">En Madrid, a </w:t>
      </w:r>
      <w:r w:rsidR="008711E4">
        <w:rPr>
          <w:rFonts w:ascii="Calibri" w:hAnsi="Calibri" w:cs="Calibri"/>
          <w:sz w:val="24"/>
          <w:szCs w:val="24"/>
        </w:rPr>
        <w:t>9</w:t>
      </w:r>
      <w:r w:rsidRPr="008711E4">
        <w:rPr>
          <w:rFonts w:ascii="Calibri" w:hAnsi="Calibri" w:cs="Calibri"/>
          <w:sz w:val="24"/>
          <w:szCs w:val="24"/>
        </w:rPr>
        <w:t xml:space="preserve"> de julio de 2026.</w:t>
      </w:r>
    </w:p>
    <w:p w14:paraId="7F688462" w14:textId="77777777" w:rsidR="006926DB" w:rsidRDefault="006926DB" w:rsidP="00244E30">
      <w:pPr>
        <w:rPr>
          <w:rFonts w:ascii="Calibri" w:hAnsi="Calibri" w:cs="Calibri"/>
          <w:sz w:val="24"/>
          <w:szCs w:val="24"/>
        </w:rPr>
      </w:pPr>
    </w:p>
    <w:p w14:paraId="3E590BC7" w14:textId="77777777" w:rsidR="006926DB" w:rsidRPr="008711E4" w:rsidRDefault="006926DB" w:rsidP="00244E30">
      <w:pPr>
        <w:rPr>
          <w:rFonts w:ascii="Calibri" w:hAnsi="Calibri" w:cs="Calibri"/>
          <w:sz w:val="24"/>
          <w:szCs w:val="24"/>
        </w:rPr>
      </w:pPr>
    </w:p>
    <w:p w14:paraId="102CFD22" w14:textId="0E6BBDC2" w:rsidR="00244E30" w:rsidRPr="008711E4" w:rsidRDefault="00244E30" w:rsidP="00244E30">
      <w:pPr>
        <w:rPr>
          <w:rFonts w:ascii="Calibri" w:hAnsi="Calibri" w:cs="Calibri"/>
          <w:sz w:val="24"/>
          <w:szCs w:val="24"/>
        </w:rPr>
      </w:pPr>
      <w:r w:rsidRPr="008711E4">
        <w:rPr>
          <w:rFonts w:ascii="Calibri" w:hAnsi="Calibri" w:cs="Calibri"/>
          <w:sz w:val="24"/>
          <w:szCs w:val="24"/>
        </w:rPr>
        <w:t>Fdo.:</w:t>
      </w:r>
    </w:p>
    <w:p w14:paraId="61E7561A" w14:textId="77777777" w:rsidR="00284888" w:rsidRPr="008711E4" w:rsidRDefault="00284888">
      <w:pPr>
        <w:rPr>
          <w:rFonts w:ascii="Calibri" w:hAnsi="Calibri" w:cs="Calibri"/>
          <w:sz w:val="24"/>
          <w:szCs w:val="24"/>
        </w:rPr>
      </w:pPr>
    </w:p>
    <w:sectPr w:rsidR="00284888" w:rsidRPr="008711E4" w:rsidSect="008711E4">
      <w:footerReference w:type="even" r:id="rId7"/>
      <w:footerReference w:type="default" r:id="rId8"/>
      <w:pgSz w:w="11906" w:h="16838"/>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28839" w14:textId="77777777" w:rsidR="00D056E6" w:rsidRDefault="00D056E6" w:rsidP="008711E4">
      <w:pPr>
        <w:spacing w:after="0" w:line="240" w:lineRule="auto"/>
      </w:pPr>
      <w:r>
        <w:separator/>
      </w:r>
    </w:p>
  </w:endnote>
  <w:endnote w:type="continuationSeparator" w:id="0">
    <w:p w14:paraId="78AB4AD1" w14:textId="77777777" w:rsidR="00D056E6" w:rsidRDefault="00D056E6" w:rsidP="00871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911051170"/>
      <w:docPartObj>
        <w:docPartGallery w:val="Page Numbers (Bottom of Page)"/>
        <w:docPartUnique/>
      </w:docPartObj>
    </w:sdtPr>
    <w:sdtContent>
      <w:p w14:paraId="040C9378" w14:textId="28CEA89B" w:rsidR="008711E4" w:rsidRDefault="008711E4" w:rsidP="00FC084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70E7B4B6" w14:textId="77777777" w:rsidR="008711E4" w:rsidRDefault="008711E4" w:rsidP="008711E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738681008"/>
      <w:docPartObj>
        <w:docPartGallery w:val="Page Numbers (Bottom of Page)"/>
        <w:docPartUnique/>
      </w:docPartObj>
    </w:sdtPr>
    <w:sdtContent>
      <w:p w14:paraId="74DC6E95" w14:textId="456C9EC5" w:rsidR="008711E4" w:rsidRDefault="008711E4" w:rsidP="00FC084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6</w:t>
        </w:r>
        <w:r>
          <w:rPr>
            <w:rStyle w:val="Nmerodepgina"/>
          </w:rPr>
          <w:fldChar w:fldCharType="end"/>
        </w:r>
      </w:p>
    </w:sdtContent>
  </w:sdt>
  <w:p w14:paraId="0C535B26" w14:textId="77777777" w:rsidR="008711E4" w:rsidRDefault="008711E4" w:rsidP="008711E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1164B" w14:textId="77777777" w:rsidR="00D056E6" w:rsidRDefault="00D056E6" w:rsidP="008711E4">
      <w:pPr>
        <w:spacing w:after="0" w:line="240" w:lineRule="auto"/>
      </w:pPr>
      <w:r>
        <w:separator/>
      </w:r>
    </w:p>
  </w:footnote>
  <w:footnote w:type="continuationSeparator" w:id="0">
    <w:p w14:paraId="634688A3" w14:textId="77777777" w:rsidR="00D056E6" w:rsidRDefault="00D056E6" w:rsidP="008711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E30"/>
    <w:rsid w:val="000361D3"/>
    <w:rsid w:val="00244E30"/>
    <w:rsid w:val="00284888"/>
    <w:rsid w:val="0052207D"/>
    <w:rsid w:val="006926DB"/>
    <w:rsid w:val="008156D4"/>
    <w:rsid w:val="00825892"/>
    <w:rsid w:val="008711E4"/>
    <w:rsid w:val="00A645D2"/>
    <w:rsid w:val="00AE3B31"/>
    <w:rsid w:val="00BF1C56"/>
    <w:rsid w:val="00D056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2CC4F"/>
  <w15:chartTrackingRefBased/>
  <w15:docId w15:val="{82D95B0F-12FF-F043-9AC7-CFDE20D0C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E30"/>
    <w:pPr>
      <w:spacing w:after="160" w:line="259" w:lineRule="auto"/>
    </w:pPr>
    <w:rPr>
      <w:kern w:val="0"/>
      <w:sz w:val="22"/>
      <w:szCs w:val="22"/>
      <w14:ligatures w14:val="none"/>
    </w:rPr>
  </w:style>
  <w:style w:type="paragraph" w:styleId="Ttulo1">
    <w:name w:val="heading 1"/>
    <w:basedOn w:val="Normal"/>
    <w:next w:val="Normal"/>
    <w:link w:val="Ttulo1Car"/>
    <w:uiPriority w:val="9"/>
    <w:qFormat/>
    <w:rsid w:val="00244E30"/>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es-ES_tradnl"/>
      <w14:ligatures w14:val="standardContextual"/>
    </w:rPr>
  </w:style>
  <w:style w:type="paragraph" w:styleId="Ttulo2">
    <w:name w:val="heading 2"/>
    <w:basedOn w:val="Normal"/>
    <w:next w:val="Normal"/>
    <w:link w:val="Ttulo2Car"/>
    <w:uiPriority w:val="9"/>
    <w:semiHidden/>
    <w:unhideWhenUsed/>
    <w:qFormat/>
    <w:rsid w:val="00244E30"/>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es-ES_tradnl"/>
      <w14:ligatures w14:val="standardContextual"/>
    </w:rPr>
  </w:style>
  <w:style w:type="paragraph" w:styleId="Ttulo3">
    <w:name w:val="heading 3"/>
    <w:basedOn w:val="Normal"/>
    <w:next w:val="Normal"/>
    <w:link w:val="Ttulo3Car"/>
    <w:uiPriority w:val="9"/>
    <w:semiHidden/>
    <w:unhideWhenUsed/>
    <w:qFormat/>
    <w:rsid w:val="00244E30"/>
    <w:pPr>
      <w:keepNext/>
      <w:keepLines/>
      <w:spacing w:before="160" w:after="80" w:line="240" w:lineRule="auto"/>
      <w:outlineLvl w:val="2"/>
    </w:pPr>
    <w:rPr>
      <w:rFonts w:eastAsiaTheme="majorEastAsia" w:cstheme="majorBidi"/>
      <w:color w:val="0F4761" w:themeColor="accent1" w:themeShade="BF"/>
      <w:kern w:val="2"/>
      <w:sz w:val="28"/>
      <w:szCs w:val="28"/>
      <w:lang w:val="es-ES_tradnl"/>
      <w14:ligatures w14:val="standardContextual"/>
    </w:rPr>
  </w:style>
  <w:style w:type="paragraph" w:styleId="Ttulo4">
    <w:name w:val="heading 4"/>
    <w:basedOn w:val="Normal"/>
    <w:next w:val="Normal"/>
    <w:link w:val="Ttulo4Car"/>
    <w:uiPriority w:val="9"/>
    <w:semiHidden/>
    <w:unhideWhenUsed/>
    <w:qFormat/>
    <w:rsid w:val="00244E30"/>
    <w:pPr>
      <w:keepNext/>
      <w:keepLines/>
      <w:spacing w:before="80" w:after="40" w:line="240" w:lineRule="auto"/>
      <w:outlineLvl w:val="3"/>
    </w:pPr>
    <w:rPr>
      <w:rFonts w:eastAsiaTheme="majorEastAsia" w:cstheme="majorBidi"/>
      <w:i/>
      <w:iCs/>
      <w:color w:val="0F4761" w:themeColor="accent1" w:themeShade="BF"/>
      <w:kern w:val="2"/>
      <w:sz w:val="24"/>
      <w:szCs w:val="24"/>
      <w:lang w:val="es-ES_tradnl"/>
      <w14:ligatures w14:val="standardContextual"/>
    </w:rPr>
  </w:style>
  <w:style w:type="paragraph" w:styleId="Ttulo5">
    <w:name w:val="heading 5"/>
    <w:basedOn w:val="Normal"/>
    <w:next w:val="Normal"/>
    <w:link w:val="Ttulo5Car"/>
    <w:uiPriority w:val="9"/>
    <w:semiHidden/>
    <w:unhideWhenUsed/>
    <w:qFormat/>
    <w:rsid w:val="00244E30"/>
    <w:pPr>
      <w:keepNext/>
      <w:keepLines/>
      <w:spacing w:before="80" w:after="40" w:line="240" w:lineRule="auto"/>
      <w:outlineLvl w:val="4"/>
    </w:pPr>
    <w:rPr>
      <w:rFonts w:eastAsiaTheme="majorEastAsia" w:cstheme="majorBidi"/>
      <w:color w:val="0F4761" w:themeColor="accent1" w:themeShade="BF"/>
      <w:kern w:val="2"/>
      <w:sz w:val="24"/>
      <w:szCs w:val="24"/>
      <w:lang w:val="es-ES_tradnl"/>
      <w14:ligatures w14:val="standardContextual"/>
    </w:rPr>
  </w:style>
  <w:style w:type="paragraph" w:styleId="Ttulo6">
    <w:name w:val="heading 6"/>
    <w:basedOn w:val="Normal"/>
    <w:next w:val="Normal"/>
    <w:link w:val="Ttulo6Car"/>
    <w:uiPriority w:val="9"/>
    <w:semiHidden/>
    <w:unhideWhenUsed/>
    <w:qFormat/>
    <w:rsid w:val="00244E30"/>
    <w:pPr>
      <w:keepNext/>
      <w:keepLines/>
      <w:spacing w:before="40" w:after="0" w:line="240" w:lineRule="auto"/>
      <w:outlineLvl w:val="5"/>
    </w:pPr>
    <w:rPr>
      <w:rFonts w:eastAsiaTheme="majorEastAsia" w:cstheme="majorBidi"/>
      <w:i/>
      <w:iCs/>
      <w:color w:val="595959" w:themeColor="text1" w:themeTint="A6"/>
      <w:kern w:val="2"/>
      <w:sz w:val="24"/>
      <w:szCs w:val="24"/>
      <w:lang w:val="es-ES_tradnl"/>
      <w14:ligatures w14:val="standardContextual"/>
    </w:rPr>
  </w:style>
  <w:style w:type="paragraph" w:styleId="Ttulo7">
    <w:name w:val="heading 7"/>
    <w:basedOn w:val="Normal"/>
    <w:next w:val="Normal"/>
    <w:link w:val="Ttulo7Car"/>
    <w:uiPriority w:val="9"/>
    <w:semiHidden/>
    <w:unhideWhenUsed/>
    <w:qFormat/>
    <w:rsid w:val="00244E30"/>
    <w:pPr>
      <w:keepNext/>
      <w:keepLines/>
      <w:spacing w:before="40" w:after="0" w:line="240" w:lineRule="auto"/>
      <w:outlineLvl w:val="6"/>
    </w:pPr>
    <w:rPr>
      <w:rFonts w:eastAsiaTheme="majorEastAsia" w:cstheme="majorBidi"/>
      <w:color w:val="595959" w:themeColor="text1" w:themeTint="A6"/>
      <w:kern w:val="2"/>
      <w:sz w:val="24"/>
      <w:szCs w:val="24"/>
      <w:lang w:val="es-ES_tradnl"/>
      <w14:ligatures w14:val="standardContextual"/>
    </w:rPr>
  </w:style>
  <w:style w:type="paragraph" w:styleId="Ttulo8">
    <w:name w:val="heading 8"/>
    <w:basedOn w:val="Normal"/>
    <w:next w:val="Normal"/>
    <w:link w:val="Ttulo8Car"/>
    <w:uiPriority w:val="9"/>
    <w:semiHidden/>
    <w:unhideWhenUsed/>
    <w:qFormat/>
    <w:rsid w:val="00244E30"/>
    <w:pPr>
      <w:keepNext/>
      <w:keepLines/>
      <w:spacing w:after="0" w:line="240" w:lineRule="auto"/>
      <w:outlineLvl w:val="7"/>
    </w:pPr>
    <w:rPr>
      <w:rFonts w:eastAsiaTheme="majorEastAsia" w:cstheme="majorBidi"/>
      <w:i/>
      <w:iCs/>
      <w:color w:val="272727" w:themeColor="text1" w:themeTint="D8"/>
      <w:kern w:val="2"/>
      <w:sz w:val="24"/>
      <w:szCs w:val="24"/>
      <w:lang w:val="es-ES_tradnl"/>
      <w14:ligatures w14:val="standardContextual"/>
    </w:rPr>
  </w:style>
  <w:style w:type="paragraph" w:styleId="Ttulo9">
    <w:name w:val="heading 9"/>
    <w:basedOn w:val="Normal"/>
    <w:next w:val="Normal"/>
    <w:link w:val="Ttulo9Car"/>
    <w:uiPriority w:val="9"/>
    <w:semiHidden/>
    <w:unhideWhenUsed/>
    <w:qFormat/>
    <w:rsid w:val="00244E30"/>
    <w:pPr>
      <w:keepNext/>
      <w:keepLines/>
      <w:spacing w:after="0" w:line="240" w:lineRule="auto"/>
      <w:outlineLvl w:val="8"/>
    </w:pPr>
    <w:rPr>
      <w:rFonts w:eastAsiaTheme="majorEastAsia" w:cstheme="majorBidi"/>
      <w:color w:val="272727" w:themeColor="text1" w:themeTint="D8"/>
      <w:kern w:val="2"/>
      <w:sz w:val="24"/>
      <w:szCs w:val="24"/>
      <w:lang w:val="es-ES_tradnl"/>
      <w14:ligatures w14:val="standardContextu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4E30"/>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semiHidden/>
    <w:rsid w:val="00244E30"/>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semiHidden/>
    <w:rsid w:val="00244E30"/>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244E30"/>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244E30"/>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244E30"/>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244E30"/>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244E30"/>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244E30"/>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244E30"/>
    <w:pPr>
      <w:spacing w:after="80" w:line="240" w:lineRule="auto"/>
      <w:contextualSpacing/>
    </w:pPr>
    <w:rPr>
      <w:rFonts w:asciiTheme="majorHAnsi" w:eastAsiaTheme="majorEastAsia" w:hAnsiTheme="majorHAnsi" w:cstheme="majorBidi"/>
      <w:spacing w:val="-10"/>
      <w:kern w:val="28"/>
      <w:sz w:val="56"/>
      <w:szCs w:val="56"/>
      <w:lang w:val="es-ES_tradnl"/>
      <w14:ligatures w14:val="standardContextual"/>
    </w:rPr>
  </w:style>
  <w:style w:type="character" w:customStyle="1" w:styleId="TtuloCar">
    <w:name w:val="Título Car"/>
    <w:basedOn w:val="Fuentedeprrafopredeter"/>
    <w:link w:val="Ttulo"/>
    <w:uiPriority w:val="10"/>
    <w:rsid w:val="00244E30"/>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244E30"/>
    <w:pPr>
      <w:numPr>
        <w:ilvl w:val="1"/>
      </w:numPr>
      <w:spacing w:line="240" w:lineRule="auto"/>
    </w:pPr>
    <w:rPr>
      <w:rFonts w:eastAsiaTheme="majorEastAsia" w:cstheme="majorBidi"/>
      <w:color w:val="595959" w:themeColor="text1" w:themeTint="A6"/>
      <w:spacing w:val="15"/>
      <w:kern w:val="2"/>
      <w:sz w:val="28"/>
      <w:szCs w:val="28"/>
      <w:lang w:val="es-ES_tradnl"/>
      <w14:ligatures w14:val="standardContextual"/>
    </w:rPr>
  </w:style>
  <w:style w:type="character" w:customStyle="1" w:styleId="SubttuloCar">
    <w:name w:val="Subtítulo Car"/>
    <w:basedOn w:val="Fuentedeprrafopredeter"/>
    <w:link w:val="Subttulo"/>
    <w:uiPriority w:val="11"/>
    <w:rsid w:val="00244E30"/>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244E30"/>
    <w:pPr>
      <w:spacing w:before="160" w:line="240" w:lineRule="auto"/>
      <w:jc w:val="center"/>
    </w:pPr>
    <w:rPr>
      <w:i/>
      <w:iCs/>
      <w:color w:val="404040" w:themeColor="text1" w:themeTint="BF"/>
      <w:kern w:val="2"/>
      <w:sz w:val="24"/>
      <w:szCs w:val="24"/>
      <w:lang w:val="es-ES_tradnl"/>
      <w14:ligatures w14:val="standardContextual"/>
    </w:rPr>
  </w:style>
  <w:style w:type="character" w:customStyle="1" w:styleId="CitaCar">
    <w:name w:val="Cita Car"/>
    <w:basedOn w:val="Fuentedeprrafopredeter"/>
    <w:link w:val="Cita"/>
    <w:uiPriority w:val="29"/>
    <w:rsid w:val="00244E30"/>
    <w:rPr>
      <w:i/>
      <w:iCs/>
      <w:color w:val="404040" w:themeColor="text1" w:themeTint="BF"/>
      <w:lang w:val="es-ES_tradnl"/>
    </w:rPr>
  </w:style>
  <w:style w:type="paragraph" w:styleId="Prrafodelista">
    <w:name w:val="List Paragraph"/>
    <w:basedOn w:val="Normal"/>
    <w:uiPriority w:val="34"/>
    <w:qFormat/>
    <w:rsid w:val="00244E30"/>
    <w:pPr>
      <w:spacing w:after="0" w:line="240" w:lineRule="auto"/>
      <w:ind w:left="720"/>
      <w:contextualSpacing/>
    </w:pPr>
    <w:rPr>
      <w:kern w:val="2"/>
      <w:sz w:val="24"/>
      <w:szCs w:val="24"/>
      <w:lang w:val="es-ES_tradnl"/>
      <w14:ligatures w14:val="standardContextual"/>
    </w:rPr>
  </w:style>
  <w:style w:type="character" w:styleId="nfasisintenso">
    <w:name w:val="Intense Emphasis"/>
    <w:basedOn w:val="Fuentedeprrafopredeter"/>
    <w:uiPriority w:val="21"/>
    <w:qFormat/>
    <w:rsid w:val="00244E30"/>
    <w:rPr>
      <w:i/>
      <w:iCs/>
      <w:color w:val="0F4761" w:themeColor="accent1" w:themeShade="BF"/>
    </w:rPr>
  </w:style>
  <w:style w:type="paragraph" w:styleId="Citadestacada">
    <w:name w:val="Intense Quote"/>
    <w:basedOn w:val="Normal"/>
    <w:next w:val="Normal"/>
    <w:link w:val="CitadestacadaCar"/>
    <w:uiPriority w:val="30"/>
    <w:qFormat/>
    <w:rsid w:val="00244E30"/>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lang w:val="es-ES_tradnl"/>
      <w14:ligatures w14:val="standardContextual"/>
    </w:rPr>
  </w:style>
  <w:style w:type="character" w:customStyle="1" w:styleId="CitadestacadaCar">
    <w:name w:val="Cita destacada Car"/>
    <w:basedOn w:val="Fuentedeprrafopredeter"/>
    <w:link w:val="Citadestacada"/>
    <w:uiPriority w:val="30"/>
    <w:rsid w:val="00244E30"/>
    <w:rPr>
      <w:i/>
      <w:iCs/>
      <w:color w:val="0F4761" w:themeColor="accent1" w:themeShade="BF"/>
      <w:lang w:val="es-ES_tradnl"/>
    </w:rPr>
  </w:style>
  <w:style w:type="character" w:styleId="Referenciaintensa">
    <w:name w:val="Intense Reference"/>
    <w:basedOn w:val="Fuentedeprrafopredeter"/>
    <w:uiPriority w:val="32"/>
    <w:qFormat/>
    <w:rsid w:val="00244E30"/>
    <w:rPr>
      <w:b/>
      <w:bCs/>
      <w:smallCaps/>
      <w:color w:val="0F4761" w:themeColor="accent1" w:themeShade="BF"/>
      <w:spacing w:val="5"/>
    </w:rPr>
  </w:style>
  <w:style w:type="paragraph" w:styleId="Piedepgina">
    <w:name w:val="footer"/>
    <w:basedOn w:val="Normal"/>
    <w:link w:val="PiedepginaCar"/>
    <w:uiPriority w:val="99"/>
    <w:unhideWhenUsed/>
    <w:rsid w:val="008711E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711E4"/>
    <w:rPr>
      <w:kern w:val="0"/>
      <w:sz w:val="22"/>
      <w:szCs w:val="22"/>
      <w14:ligatures w14:val="none"/>
    </w:rPr>
  </w:style>
  <w:style w:type="character" w:styleId="Nmerodepgina">
    <w:name w:val="page number"/>
    <w:basedOn w:val="Fuentedeprrafopredeter"/>
    <w:uiPriority w:val="99"/>
    <w:semiHidden/>
    <w:unhideWhenUsed/>
    <w:rsid w:val="008711E4"/>
  </w:style>
  <w:style w:type="paragraph" w:styleId="Encabezado">
    <w:name w:val="header"/>
    <w:basedOn w:val="Normal"/>
    <w:link w:val="EncabezadoCar"/>
    <w:uiPriority w:val="99"/>
    <w:unhideWhenUsed/>
    <w:rsid w:val="008711E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711E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E1B7F-7009-5D4F-B2AC-98C710AAB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2482</Words>
  <Characters>14098</Characters>
  <Application>Microsoft Office Word</Application>
  <DocSecurity>0</DocSecurity>
  <Lines>247</Lines>
  <Paragraphs>75</Paragraphs>
  <ScaleCrop>false</ScaleCrop>
  <Company/>
  <LinksUpToDate>false</LinksUpToDate>
  <CharactersWithSpaces>16505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LuzParaCañada</dc:creator>
  <cp:keywords/>
  <dc:description/>
  <cp:lastModifiedBy>LuzParaCañada</cp:lastModifiedBy>
  <cp:revision>1</cp:revision>
  <dcterms:created xsi:type="dcterms:W3CDTF">2026-07-09T00:00:00Z</dcterms:created>
  <dcterms:modified xsi:type="dcterms:W3CDTF">2026-07-09T00:00:00Z</dcterms:modified>
</cp:coreProperties>
</file>