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A7B" w14:textId="2D820E7F"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AL VICECONSEJERO/A DE MEDIO AMBIENTE, AGRICULTURA Y ORDENACIÓN DEL TERRITORIO DE LA COMUNIDAD DE MADRID</w:t>
      </w:r>
    </w:p>
    <w:p w14:paraId="5E10F7FF" w14:textId="77777777" w:rsidR="008711E4" w:rsidRPr="008711E4" w:rsidRDefault="008711E4" w:rsidP="008711E4">
      <w:pPr>
        <w:jc w:val="center"/>
        <w:rPr>
          <w:rFonts w:ascii="Calibri" w:hAnsi="Calibri" w:cs="Calibri"/>
          <w:b/>
          <w:bCs/>
          <w:sz w:val="24"/>
          <w:szCs w:val="24"/>
        </w:rPr>
      </w:pPr>
    </w:p>
    <w:p w14:paraId="1A795D68" w14:textId="710F7978"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D./Dª</w:t>
      </w:r>
      <w:r w:rsidRPr="008711E4">
        <w:rPr>
          <w:rFonts w:ascii="Calibri" w:hAnsi="Calibri" w:cs="Calibri"/>
          <w:sz w:val="24"/>
          <w:szCs w:val="24"/>
        </w:rPr>
        <w:t xml:space="preserve"> …………………………………………………………</w:t>
      </w:r>
      <w:proofErr w:type="gramStart"/>
      <w:r w:rsidRPr="008711E4">
        <w:rPr>
          <w:rFonts w:ascii="Calibri" w:hAnsi="Calibri" w:cs="Calibri"/>
          <w:sz w:val="24"/>
          <w:szCs w:val="24"/>
        </w:rPr>
        <w:t>…….</w:t>
      </w:r>
      <w:proofErr w:type="gramEnd"/>
      <w:r w:rsidRPr="008711E4">
        <w:rPr>
          <w:rFonts w:ascii="Calibri" w:hAnsi="Calibri" w:cs="Calibri"/>
          <w:sz w:val="24"/>
          <w:szCs w:val="24"/>
        </w:rPr>
        <w:t>…</w:t>
      </w:r>
      <w:proofErr w:type="gramStart"/>
      <w:r w:rsidRPr="008711E4">
        <w:rPr>
          <w:rFonts w:ascii="Calibri" w:hAnsi="Calibri" w:cs="Calibri"/>
          <w:sz w:val="24"/>
          <w:szCs w:val="24"/>
        </w:rPr>
        <w:t>…….</w:t>
      </w:r>
      <w:proofErr w:type="gramEnd"/>
      <w:r w:rsidRPr="008711E4">
        <w:rPr>
          <w:rFonts w:ascii="Calibri" w:hAnsi="Calibri" w:cs="Calibri"/>
          <w:sz w:val="24"/>
          <w:szCs w:val="24"/>
        </w:rPr>
        <w:t>, con DNI/NIE ……………………………</w:t>
      </w:r>
      <w:proofErr w:type="gramStart"/>
      <w:r w:rsidRPr="008711E4">
        <w:rPr>
          <w:rFonts w:ascii="Calibri" w:hAnsi="Calibri" w:cs="Calibri"/>
          <w:sz w:val="24"/>
          <w:szCs w:val="24"/>
        </w:rPr>
        <w:t>…….</w:t>
      </w:r>
      <w:proofErr w:type="gramEnd"/>
      <w:r w:rsidRPr="008711E4">
        <w:rPr>
          <w:rFonts w:ascii="Calibri" w:hAnsi="Calibri" w:cs="Calibri"/>
          <w:sz w:val="24"/>
          <w:szCs w:val="24"/>
        </w:rPr>
        <w:t>, y domicilio a efectos de notificaciones en …………………………………………………</w:t>
      </w:r>
      <w:r w:rsidR="008711E4" w:rsidRPr="008711E4">
        <w:rPr>
          <w:rFonts w:ascii="Calibri" w:hAnsi="Calibri" w:cs="Calibri"/>
          <w:sz w:val="24"/>
          <w:szCs w:val="24"/>
        </w:rPr>
        <w:t>……………</w:t>
      </w:r>
      <w:r w:rsidRPr="008711E4">
        <w:rPr>
          <w:rFonts w:ascii="Calibri" w:hAnsi="Calibri" w:cs="Calibri"/>
          <w:sz w:val="24"/>
          <w:szCs w:val="24"/>
        </w:rPr>
        <w:t>, Sector …</w:t>
      </w:r>
      <w:r w:rsidR="008711E4" w:rsidRPr="008711E4">
        <w:rPr>
          <w:rFonts w:ascii="Calibri" w:hAnsi="Calibri" w:cs="Calibri"/>
          <w:sz w:val="24"/>
          <w:szCs w:val="24"/>
        </w:rPr>
        <w:t>.</w:t>
      </w:r>
      <w:r w:rsidRPr="008711E4">
        <w:rPr>
          <w:rFonts w:ascii="Calibri" w:hAnsi="Calibri" w:cs="Calibri"/>
          <w:sz w:val="24"/>
          <w:szCs w:val="24"/>
        </w:rPr>
        <w:t xml:space="preserve"> de Cañada Real Galiana, y correo electrónico ………………</w:t>
      </w:r>
      <w:r w:rsidR="008711E4" w:rsidRPr="008711E4">
        <w:rPr>
          <w:rFonts w:ascii="Calibri" w:hAnsi="Calibri" w:cs="Calibri"/>
          <w:sz w:val="24"/>
          <w:szCs w:val="24"/>
        </w:rPr>
        <w:t>……………</w:t>
      </w:r>
      <w:r w:rsidRPr="008711E4">
        <w:rPr>
          <w:rFonts w:ascii="Calibri" w:hAnsi="Calibri" w:cs="Calibri"/>
          <w:sz w:val="24"/>
          <w:szCs w:val="24"/>
        </w:rPr>
        <w:t>,</w:t>
      </w:r>
    </w:p>
    <w:p w14:paraId="05CAE3A3" w14:textId="77777777" w:rsidR="008711E4" w:rsidRPr="008711E4" w:rsidRDefault="008711E4" w:rsidP="00244E30">
      <w:pPr>
        <w:jc w:val="both"/>
        <w:rPr>
          <w:rFonts w:ascii="Calibri" w:hAnsi="Calibri" w:cs="Calibri"/>
          <w:sz w:val="24"/>
          <w:szCs w:val="24"/>
        </w:rPr>
      </w:pPr>
    </w:p>
    <w:p w14:paraId="705F3A87" w14:textId="4C9FE78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EXPONE</w:t>
      </w:r>
    </w:p>
    <w:p w14:paraId="10555351" w14:textId="77777777" w:rsidR="00244E30" w:rsidRPr="008711E4" w:rsidRDefault="00244E30" w:rsidP="00244E30">
      <w:pPr>
        <w:jc w:val="center"/>
        <w:rPr>
          <w:rFonts w:ascii="Calibri" w:hAnsi="Calibri" w:cs="Calibri"/>
          <w:b/>
          <w:bCs/>
          <w:sz w:val="24"/>
          <w:szCs w:val="24"/>
        </w:rPr>
      </w:pPr>
      <w:r w:rsidRPr="008711E4">
        <w:rPr>
          <w:rFonts w:ascii="Calibri" w:hAnsi="Calibri" w:cs="Calibri"/>
          <w:b/>
          <w:bCs/>
          <w:sz w:val="24"/>
          <w:szCs w:val="24"/>
        </w:rPr>
        <w:t>CONTRA LA RETIRADA DE LA INSTALACIÓN HISTÓRICA DE LUZ EN CAÑADA REAL</w:t>
      </w:r>
    </w:p>
    <w:p w14:paraId="641E377B" w14:textId="2E24A6B0" w:rsidR="00244E30" w:rsidRPr="008711E4" w:rsidRDefault="008711E4" w:rsidP="00244E30">
      <w:pPr>
        <w:jc w:val="both"/>
        <w:rPr>
          <w:rFonts w:ascii="Calibri" w:hAnsi="Calibri" w:cs="Calibri"/>
          <w:sz w:val="24"/>
          <w:szCs w:val="24"/>
        </w:rPr>
      </w:pPr>
      <w:r>
        <w:rPr>
          <w:rFonts w:ascii="Calibri" w:hAnsi="Calibri" w:cs="Calibri"/>
          <w:b/>
          <w:bCs/>
          <w:sz w:val="24"/>
          <w:szCs w:val="24"/>
        </w:rPr>
        <w:t>1</w:t>
      </w:r>
      <w:r w:rsidR="00244E30" w:rsidRPr="008711E4">
        <w:rPr>
          <w:rFonts w:ascii="Calibri" w:hAnsi="Calibri" w:cs="Calibri"/>
          <w:b/>
          <w:bCs/>
          <w:sz w:val="24"/>
          <w:szCs w:val="24"/>
        </w:rPr>
        <w:t>.-</w:t>
      </w:r>
      <w:r w:rsidR="00244E30" w:rsidRPr="008711E4">
        <w:rPr>
          <w:rFonts w:ascii="Calibri" w:hAnsi="Calibri" w:cs="Calibri"/>
          <w:sz w:val="24"/>
          <w:szCs w:val="24"/>
        </w:rPr>
        <w:t xml:space="preserve"> El </w:t>
      </w:r>
      <w:r w:rsidR="008156D4" w:rsidRPr="008711E4">
        <w:rPr>
          <w:rFonts w:ascii="Calibri" w:hAnsi="Calibri" w:cs="Calibri"/>
          <w:sz w:val="24"/>
          <w:szCs w:val="24"/>
        </w:rPr>
        <w:t xml:space="preserve">viernes </w:t>
      </w:r>
      <w:r w:rsidR="00244E30" w:rsidRPr="008711E4">
        <w:rPr>
          <w:rFonts w:ascii="Calibri" w:hAnsi="Calibri" w:cs="Calibri"/>
          <w:sz w:val="24"/>
          <w:szCs w:val="24"/>
        </w:rPr>
        <w:t xml:space="preserve">12 de junio de 2026 </w:t>
      </w:r>
      <w:r w:rsidR="00244E30" w:rsidRPr="00A645D2">
        <w:rPr>
          <w:rFonts w:ascii="Calibri" w:hAnsi="Calibri" w:cs="Calibri"/>
          <w:b/>
          <w:bCs/>
          <w:sz w:val="24"/>
          <w:szCs w:val="24"/>
        </w:rPr>
        <w:t xml:space="preserve">se ha publicado en el BOCM </w:t>
      </w:r>
      <w:proofErr w:type="spellStart"/>
      <w:r w:rsidR="008156D4" w:rsidRPr="00A645D2">
        <w:rPr>
          <w:rFonts w:ascii="Calibri" w:hAnsi="Calibri" w:cs="Calibri"/>
          <w:b/>
          <w:bCs/>
          <w:sz w:val="24"/>
          <w:szCs w:val="24"/>
        </w:rPr>
        <w:t>nº</w:t>
      </w:r>
      <w:proofErr w:type="spellEnd"/>
      <w:r w:rsidR="008156D4" w:rsidRPr="00A645D2">
        <w:rPr>
          <w:rFonts w:ascii="Calibri" w:hAnsi="Calibri" w:cs="Calibri"/>
          <w:b/>
          <w:bCs/>
          <w:sz w:val="24"/>
          <w:szCs w:val="24"/>
        </w:rPr>
        <w:t xml:space="preserve"> 138 </w:t>
      </w:r>
      <w:r w:rsidR="00244E30" w:rsidRPr="00A645D2">
        <w:rPr>
          <w:rFonts w:ascii="Calibri" w:hAnsi="Calibri" w:cs="Calibri"/>
          <w:b/>
          <w:bCs/>
          <w:sz w:val="24"/>
          <w:szCs w:val="24"/>
        </w:rPr>
        <w:t xml:space="preserve">Resolución de la Dirección General de Transición Energética y Economía Circular en el expediente </w:t>
      </w:r>
      <w:proofErr w:type="spellStart"/>
      <w:r w:rsidR="00244E30" w:rsidRPr="00A645D2">
        <w:rPr>
          <w:rFonts w:ascii="Calibri" w:hAnsi="Calibri" w:cs="Calibri"/>
          <w:b/>
          <w:bCs/>
          <w:sz w:val="24"/>
          <w:szCs w:val="24"/>
        </w:rPr>
        <w:t>nº</w:t>
      </w:r>
      <w:proofErr w:type="spellEnd"/>
      <w:r w:rsidR="00943946">
        <w:rPr>
          <w:rFonts w:ascii="Calibri" w:hAnsi="Calibri" w:cs="Calibri"/>
          <w:b/>
          <w:bCs/>
          <w:sz w:val="24"/>
          <w:szCs w:val="24"/>
        </w:rPr>
        <w:t xml:space="preserve"> </w:t>
      </w:r>
      <w:r w:rsidR="00943946" w:rsidRPr="00943946">
        <w:rPr>
          <w:rFonts w:ascii="Calibri" w:hAnsi="Calibri" w:cs="Calibri"/>
          <w:b/>
          <w:bCs/>
          <w:sz w:val="24"/>
          <w:szCs w:val="24"/>
        </w:rPr>
        <w:t>2021P735</w:t>
      </w:r>
      <w:r w:rsidR="00244E30" w:rsidRPr="008711E4">
        <w:rPr>
          <w:rFonts w:ascii="Calibri" w:hAnsi="Calibri" w:cs="Calibri"/>
          <w:sz w:val="24"/>
          <w:szCs w:val="24"/>
        </w:rPr>
        <w:t xml:space="preserve">, por la que se concede autorización administrativa, aprobación del proyecto de ejecución y declaración de utilidad pública para líneas eléctricas y desmontaje de instalaciones históricas en el </w:t>
      </w:r>
      <w:r w:rsidR="00244E30" w:rsidRPr="00A645D2">
        <w:rPr>
          <w:rFonts w:ascii="Calibri" w:hAnsi="Calibri" w:cs="Calibri"/>
          <w:b/>
          <w:bCs/>
          <w:sz w:val="24"/>
          <w:szCs w:val="24"/>
        </w:rPr>
        <w:t xml:space="preserve">Sector </w:t>
      </w:r>
      <w:r w:rsidR="00943946">
        <w:rPr>
          <w:rFonts w:ascii="Calibri" w:hAnsi="Calibri" w:cs="Calibri"/>
          <w:b/>
          <w:bCs/>
          <w:sz w:val="24"/>
          <w:szCs w:val="24"/>
        </w:rPr>
        <w:t>5</w:t>
      </w:r>
      <w:r w:rsidR="00244E30" w:rsidRPr="00A645D2">
        <w:rPr>
          <w:rFonts w:ascii="Calibri" w:hAnsi="Calibri" w:cs="Calibri"/>
          <w:b/>
          <w:bCs/>
          <w:sz w:val="24"/>
          <w:szCs w:val="24"/>
        </w:rPr>
        <w:t xml:space="preserve"> de la Cañada Real Galiana</w:t>
      </w:r>
      <w:r w:rsidR="00244E30" w:rsidRPr="008711E4">
        <w:rPr>
          <w:rFonts w:ascii="Calibri" w:hAnsi="Calibri" w:cs="Calibri"/>
          <w:sz w:val="24"/>
          <w:szCs w:val="24"/>
        </w:rPr>
        <w:t>, término municipal de Madrid, publicada en el Boletín Oficial de la Comunidad</w:t>
      </w:r>
      <w:r w:rsidR="00AE3B31" w:rsidRPr="008711E4">
        <w:rPr>
          <w:rFonts w:ascii="Calibri" w:hAnsi="Calibri" w:cs="Calibri"/>
          <w:sz w:val="24"/>
          <w:szCs w:val="24"/>
        </w:rPr>
        <w:t xml:space="preserve"> de Madrid</w:t>
      </w:r>
      <w:r w:rsidR="00244E30" w:rsidRPr="008711E4">
        <w:rPr>
          <w:rFonts w:ascii="Calibri" w:hAnsi="Calibri" w:cs="Calibri"/>
          <w:sz w:val="24"/>
          <w:szCs w:val="24"/>
        </w:rPr>
        <w:t>.</w:t>
      </w:r>
    </w:p>
    <w:p w14:paraId="76435640" w14:textId="564053E6" w:rsidR="00244E30" w:rsidRPr="008711E4" w:rsidRDefault="008711E4" w:rsidP="00244E30">
      <w:pPr>
        <w:jc w:val="both"/>
        <w:rPr>
          <w:rFonts w:ascii="Calibri" w:hAnsi="Calibri" w:cs="Calibri"/>
          <w:sz w:val="24"/>
          <w:szCs w:val="24"/>
        </w:rPr>
      </w:pPr>
      <w:r>
        <w:rPr>
          <w:rFonts w:ascii="Calibri" w:hAnsi="Calibri" w:cs="Calibri"/>
          <w:b/>
          <w:bCs/>
          <w:sz w:val="24"/>
          <w:szCs w:val="24"/>
        </w:rPr>
        <w:t>2</w:t>
      </w:r>
      <w:r w:rsidR="00244E30" w:rsidRPr="008711E4">
        <w:rPr>
          <w:rFonts w:ascii="Calibri" w:hAnsi="Calibri" w:cs="Calibri"/>
          <w:b/>
          <w:bCs/>
          <w:sz w:val="24"/>
          <w:szCs w:val="24"/>
        </w:rPr>
        <w:t>.-</w:t>
      </w:r>
      <w:r w:rsidR="00244E30" w:rsidRPr="008711E4">
        <w:rPr>
          <w:rFonts w:ascii="Calibri" w:hAnsi="Calibri" w:cs="Calibri"/>
          <w:sz w:val="24"/>
          <w:szCs w:val="24"/>
        </w:rPr>
        <w:t xml:space="preserve"> Ostento un interés legítimo por ser residente afectado por la actuación autorizada y por los efectos que la misma puede producir sobre la infraestructura eléctrica existente, sobre </w:t>
      </w:r>
      <w:r w:rsidRPr="008711E4">
        <w:rPr>
          <w:rFonts w:ascii="Calibri" w:hAnsi="Calibri" w:cs="Calibri"/>
          <w:sz w:val="24"/>
          <w:szCs w:val="24"/>
        </w:rPr>
        <w:t>las</w:t>
      </w:r>
      <w:r w:rsidR="00244E30" w:rsidRPr="008711E4">
        <w:rPr>
          <w:rFonts w:ascii="Calibri" w:hAnsi="Calibri" w:cs="Calibri"/>
          <w:sz w:val="24"/>
          <w:szCs w:val="24"/>
        </w:rPr>
        <w:t xml:space="preserve"> condiciones de vida y sobre el ejercicio de derechos fundamentales y sociales básicos, y por suponer una actuación que pretende obstaculizar el cumplimiento de una Decisión Europea que manda a las autoridades españolas a cesar en la violación de Derechos de la Carta Social Europea derivados del corte de suministro total en sector 6 desde 2020 y el corte de suministro alterno en algunas semanas invernales en el sector 5.</w:t>
      </w:r>
    </w:p>
    <w:p w14:paraId="1050DD06" w14:textId="2A93BB42" w:rsidR="00244E30" w:rsidRPr="008711E4" w:rsidRDefault="008711E4" w:rsidP="00244E30">
      <w:pPr>
        <w:jc w:val="both"/>
        <w:rPr>
          <w:rFonts w:ascii="Calibri" w:hAnsi="Calibri" w:cs="Calibri"/>
          <w:sz w:val="24"/>
          <w:szCs w:val="24"/>
        </w:rPr>
      </w:pPr>
      <w:r>
        <w:rPr>
          <w:rFonts w:ascii="Calibri" w:hAnsi="Calibri" w:cs="Calibri"/>
          <w:b/>
          <w:bCs/>
          <w:sz w:val="24"/>
          <w:szCs w:val="24"/>
        </w:rPr>
        <w:t>3</w:t>
      </w:r>
      <w:r w:rsidR="00244E30" w:rsidRPr="008711E4">
        <w:rPr>
          <w:rFonts w:ascii="Calibri" w:hAnsi="Calibri" w:cs="Calibri"/>
          <w:b/>
          <w:bCs/>
          <w:sz w:val="24"/>
          <w:szCs w:val="24"/>
        </w:rPr>
        <w:t>.-</w:t>
      </w:r>
      <w:r w:rsidR="00244E30" w:rsidRPr="008711E4">
        <w:rPr>
          <w:rFonts w:ascii="Calibri" w:hAnsi="Calibri" w:cs="Calibri"/>
          <w:sz w:val="24"/>
          <w:szCs w:val="24"/>
        </w:rPr>
        <w:t xml:space="preserve"> Que mediante el presente escrito interpone </w:t>
      </w:r>
      <w:r w:rsidR="00244E30" w:rsidRPr="008711E4">
        <w:rPr>
          <w:rFonts w:ascii="Calibri" w:hAnsi="Calibri" w:cs="Calibri"/>
          <w:b/>
          <w:bCs/>
          <w:sz w:val="24"/>
          <w:szCs w:val="24"/>
          <w:u w:val="single"/>
        </w:rPr>
        <w:t>RECURSO DE ALZADA</w:t>
      </w:r>
      <w:r w:rsidR="00244E30" w:rsidRPr="008711E4">
        <w:rPr>
          <w:rFonts w:ascii="Calibri" w:hAnsi="Calibri" w:cs="Calibri"/>
          <w:sz w:val="24"/>
          <w:szCs w:val="24"/>
        </w:rPr>
        <w:t xml:space="preserve"> contra la citada </w:t>
      </w:r>
      <w:r>
        <w:rPr>
          <w:rFonts w:ascii="Calibri" w:hAnsi="Calibri" w:cs="Calibri"/>
          <w:sz w:val="24"/>
          <w:szCs w:val="24"/>
        </w:rPr>
        <w:t>R</w:t>
      </w:r>
      <w:r w:rsidR="00244E30" w:rsidRPr="008711E4">
        <w:rPr>
          <w:rFonts w:ascii="Calibri" w:hAnsi="Calibri" w:cs="Calibri"/>
          <w:sz w:val="24"/>
          <w:szCs w:val="24"/>
        </w:rPr>
        <w:t>esolución, con base en los siguientes</w:t>
      </w:r>
    </w:p>
    <w:p w14:paraId="2EDF609C" w14:textId="77777777" w:rsidR="008711E4" w:rsidRPr="008711E4" w:rsidRDefault="008711E4" w:rsidP="00244E30">
      <w:pPr>
        <w:jc w:val="both"/>
        <w:rPr>
          <w:rFonts w:ascii="Calibri" w:hAnsi="Calibri" w:cs="Calibri"/>
          <w:sz w:val="24"/>
          <w:szCs w:val="24"/>
        </w:rPr>
      </w:pPr>
    </w:p>
    <w:p w14:paraId="5A368FE8" w14:textId="13A4DED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MOTIVOS DEL RECURSO</w:t>
      </w:r>
    </w:p>
    <w:p w14:paraId="7A3BAB5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PRIMERO.- Insuficiencia de motivación y discordancia entre el objeto formal del proyecto y sus efectos materiales reales.</w:t>
      </w:r>
    </w:p>
    <w:p w14:paraId="5E2936AB" w14:textId="401AA48F"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de 12 de junio de 2026 (en adelante, “Resolución impugnada”) </w:t>
      </w:r>
      <w:r w:rsidRPr="008711E4">
        <w:rPr>
          <w:rFonts w:ascii="Calibri" w:hAnsi="Calibri" w:cs="Calibri"/>
          <w:sz w:val="24"/>
          <w:szCs w:val="24"/>
        </w:rPr>
        <w:t>presenta la actuación como una operación de reorganización o mejora técnica, cuando el propio texto de la autorización contempla desmontajes significativos de instalaciones históricas, incluyendo centros de transformación, apoyos y líneas aéreas que han prestado servicio durante décadas a la población de la zona.</w:t>
      </w:r>
    </w:p>
    <w:p w14:paraId="6E2326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explica por qué la eliminación de infraestructura preexistente no producirá efectos negativos sobre las posibilidades presentes o futuras de suministro eléctrico de la población afectada, ni justifica la proporcionalidad de la medida.</w:t>
      </w:r>
    </w:p>
    <w:p w14:paraId="5599F02C" w14:textId="77777777" w:rsidR="00244E30" w:rsidRPr="008711E4" w:rsidRDefault="00244E30" w:rsidP="008711E4">
      <w:pPr>
        <w:jc w:val="both"/>
        <w:rPr>
          <w:rFonts w:ascii="Calibri" w:hAnsi="Calibri" w:cs="Calibri"/>
          <w:b/>
          <w:bCs/>
          <w:sz w:val="24"/>
          <w:szCs w:val="24"/>
        </w:rPr>
      </w:pPr>
      <w:r w:rsidRPr="008711E4">
        <w:rPr>
          <w:rFonts w:ascii="Calibri" w:hAnsi="Calibri" w:cs="Calibri"/>
          <w:b/>
          <w:bCs/>
          <w:sz w:val="24"/>
          <w:szCs w:val="24"/>
        </w:rPr>
        <w:lastRenderedPageBreak/>
        <w:t>SEGUNDO.- Vulneración del principio de buena administración y de la obligación de motivación reforzada.</w:t>
      </w:r>
    </w:p>
    <w:p w14:paraId="0D9FB52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tratado el expediente como un procedimiento puramente técnico y reglado, rechazando considerar circunstancias sociales, institucionales y jurídicas directamente relacionadas con la realidad del territorio afectado.</w:t>
      </w:r>
    </w:p>
    <w:p w14:paraId="42F58BF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Sin embargo, el artículo 103 de la Constitución Española, el artículo 41 de la Carta de Derechos Fundamentales de la Unión Europea y la jurisprudencia consolidada exigen una actuación administrativa fundada, racional y proporcional.</w:t>
      </w:r>
    </w:p>
    <w:p w14:paraId="61071A55" w14:textId="0246B0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fragmentar artificialmente la realidad cuando el acto administrativo producirá efectos evidentes sobre miles de personas viviendo en circunstancias de extraordinaria vulnerabilidad social.</w:t>
      </w:r>
    </w:p>
    <w:p w14:paraId="688A110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TERCERO.- Falta de valoración de los derechos fundamentales y sociales afectados.</w:t>
      </w:r>
    </w:p>
    <w:p w14:paraId="13BC5E2A" w14:textId="5E8AE3C9"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Autorización de desmontaje se desarrollará en un contexto de privación prolongada de suministro eléctrico que afecta a miles de personas, incluid</w:t>
      </w:r>
      <w:r w:rsidR="008711E4">
        <w:rPr>
          <w:rFonts w:ascii="Calibri" w:hAnsi="Calibri" w:cs="Calibri"/>
          <w:sz w:val="24"/>
          <w:szCs w:val="24"/>
        </w:rPr>
        <w:t>o</w:t>
      </w:r>
      <w:r w:rsidRPr="008711E4">
        <w:rPr>
          <w:rFonts w:ascii="Calibri" w:hAnsi="Calibri" w:cs="Calibri"/>
          <w:sz w:val="24"/>
          <w:szCs w:val="24"/>
        </w:rPr>
        <w:t xml:space="preserve">s </w:t>
      </w:r>
      <w:r w:rsidR="008711E4">
        <w:rPr>
          <w:rFonts w:ascii="Calibri" w:hAnsi="Calibri" w:cs="Calibri"/>
          <w:sz w:val="24"/>
          <w:szCs w:val="24"/>
        </w:rPr>
        <w:t xml:space="preserve">niños, niñas, adolescentes, </w:t>
      </w:r>
      <w:r w:rsidRPr="008711E4">
        <w:rPr>
          <w:rFonts w:ascii="Calibri" w:hAnsi="Calibri" w:cs="Calibri"/>
          <w:sz w:val="24"/>
          <w:szCs w:val="24"/>
        </w:rPr>
        <w:t>personas mayores</w:t>
      </w:r>
      <w:r w:rsidR="008711E4">
        <w:rPr>
          <w:rFonts w:ascii="Calibri" w:hAnsi="Calibri" w:cs="Calibri"/>
          <w:sz w:val="24"/>
          <w:szCs w:val="24"/>
        </w:rPr>
        <w:t>, personas con discapacidad</w:t>
      </w:r>
      <w:r w:rsidRPr="008711E4">
        <w:rPr>
          <w:rFonts w:ascii="Calibri" w:hAnsi="Calibri" w:cs="Calibri"/>
          <w:sz w:val="24"/>
          <w:szCs w:val="24"/>
        </w:rPr>
        <w:t xml:space="preserve"> y </w:t>
      </w:r>
      <w:r w:rsidR="008711E4">
        <w:rPr>
          <w:rFonts w:ascii="Calibri" w:hAnsi="Calibri" w:cs="Calibri"/>
          <w:sz w:val="24"/>
          <w:szCs w:val="24"/>
        </w:rPr>
        <w:t>personas en situación de especial</w:t>
      </w:r>
      <w:r w:rsidRPr="008711E4">
        <w:rPr>
          <w:rFonts w:ascii="Calibri" w:hAnsi="Calibri" w:cs="Calibri"/>
          <w:sz w:val="24"/>
          <w:szCs w:val="24"/>
        </w:rPr>
        <w:t xml:space="preserve"> vulnerab</w:t>
      </w:r>
      <w:r w:rsidR="008711E4">
        <w:rPr>
          <w:rFonts w:ascii="Calibri" w:hAnsi="Calibri" w:cs="Calibri"/>
          <w:sz w:val="24"/>
          <w:szCs w:val="24"/>
        </w:rPr>
        <w:t>ilidad</w:t>
      </w:r>
      <w:r w:rsidRPr="008711E4">
        <w:rPr>
          <w:rFonts w:ascii="Calibri" w:hAnsi="Calibri" w:cs="Calibri"/>
          <w:sz w:val="24"/>
          <w:szCs w:val="24"/>
        </w:rPr>
        <w:t>.</w:t>
      </w:r>
    </w:p>
    <w:p w14:paraId="3C752735" w14:textId="158B594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omitido cualquier análisis sobre dignidad humana, derecho a la integridad física y moral, derecho a la salud, derechos de la infancia, derecho a una vivienda adecuada, protección frente a la exclusión social y pobreza energética, principio de igualdad y no discriminación.</w:t>
      </w:r>
    </w:p>
    <w:p w14:paraId="756DEDB3" w14:textId="6844904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esolución impugnada se limita a verificar requisitos técnicos de la Ley 24/2013, pero omite el "test de razonabilidad" sobre cómo el desmontaje de transformadores históricos afectará a la salud</w:t>
      </w:r>
      <w:r w:rsidR="008711E4">
        <w:rPr>
          <w:rFonts w:ascii="Calibri" w:hAnsi="Calibri" w:cs="Calibri"/>
          <w:sz w:val="24"/>
          <w:szCs w:val="24"/>
        </w:rPr>
        <w:t xml:space="preserve">, </w:t>
      </w:r>
      <w:r w:rsidRPr="008711E4">
        <w:rPr>
          <w:rFonts w:ascii="Calibri" w:hAnsi="Calibri" w:cs="Calibri"/>
          <w:sz w:val="24"/>
          <w:szCs w:val="24"/>
        </w:rPr>
        <w:t xml:space="preserve">dignidad </w:t>
      </w:r>
      <w:r w:rsidR="008711E4">
        <w:rPr>
          <w:rFonts w:ascii="Calibri" w:hAnsi="Calibri" w:cs="Calibri"/>
          <w:sz w:val="24"/>
          <w:szCs w:val="24"/>
        </w:rPr>
        <w:t xml:space="preserve">y derechos </w:t>
      </w:r>
      <w:r w:rsidRPr="008711E4">
        <w:rPr>
          <w:rFonts w:ascii="Calibri" w:hAnsi="Calibri" w:cs="Calibri"/>
          <w:sz w:val="24"/>
          <w:szCs w:val="24"/>
        </w:rPr>
        <w:t>de los residentes.</w:t>
      </w:r>
    </w:p>
    <w:p w14:paraId="1544D6E1"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CUARTO.- Falta de consideración de las obligaciones derivadas del Derecho internacional ratificado por España.</w:t>
      </w:r>
    </w:p>
    <w:p w14:paraId="0CF429F7" w14:textId="529B96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impugnada, al dar respuesta a las alegaciones formuladas en relación con el Comité Europeo de Derechos Sociales, </w:t>
      </w:r>
      <w:r w:rsidRPr="008711E4">
        <w:rPr>
          <w:rFonts w:ascii="Calibri" w:hAnsi="Calibri" w:cs="Calibri"/>
          <w:b/>
          <w:bCs/>
          <w:sz w:val="24"/>
          <w:szCs w:val="24"/>
        </w:rPr>
        <w:t xml:space="preserve">se limita a invocar la Sentencia del Tribunal Supremo (Sala de lo Social) de 16 de julio de 2025, recurso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3993/2024</w:t>
      </w:r>
      <w:r w:rsidRPr="008711E4">
        <w:rPr>
          <w:rFonts w:ascii="Calibri" w:hAnsi="Calibri" w:cs="Calibri"/>
          <w:sz w:val="24"/>
          <w:szCs w:val="24"/>
        </w:rPr>
        <w:t xml:space="preserve">, que se pronuncia sobre el carácter no vinculante y no ejecutivo de las decisiones de dicho Comité </w:t>
      </w:r>
      <w:r w:rsidRPr="008711E4">
        <w:rPr>
          <w:rFonts w:ascii="Calibri" w:hAnsi="Calibri" w:cs="Calibri"/>
          <w:i/>
          <w:iCs/>
          <w:sz w:val="24"/>
          <w:szCs w:val="24"/>
        </w:rPr>
        <w:t>con carácter general</w:t>
      </w:r>
      <w:r w:rsidRPr="008711E4">
        <w:rPr>
          <w:rFonts w:ascii="Calibri" w:hAnsi="Calibri" w:cs="Calibri"/>
          <w:sz w:val="24"/>
          <w:szCs w:val="24"/>
        </w:rPr>
        <w:t>.</w:t>
      </w:r>
    </w:p>
    <w:p w14:paraId="0DFAB35D" w14:textId="6D20E5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Sin embargo, </w:t>
      </w:r>
      <w:r w:rsidRPr="008711E4">
        <w:rPr>
          <w:rFonts w:ascii="Calibri" w:hAnsi="Calibri" w:cs="Calibri"/>
          <w:b/>
          <w:bCs/>
          <w:sz w:val="24"/>
          <w:szCs w:val="24"/>
        </w:rPr>
        <w:t xml:space="preserve">en ningún momento del texto de la </w:t>
      </w:r>
      <w:r w:rsidR="008711E4">
        <w:rPr>
          <w:rFonts w:ascii="Calibri" w:hAnsi="Calibri" w:cs="Calibri"/>
          <w:b/>
          <w:bCs/>
          <w:sz w:val="24"/>
          <w:szCs w:val="24"/>
        </w:rPr>
        <w:t>R</w:t>
      </w:r>
      <w:r w:rsidRPr="008711E4">
        <w:rPr>
          <w:rFonts w:ascii="Calibri" w:hAnsi="Calibri" w:cs="Calibri"/>
          <w:b/>
          <w:bCs/>
          <w:sz w:val="24"/>
          <w:szCs w:val="24"/>
        </w:rPr>
        <w:t>esolución se cita, menciona o valora el contenido de la Decisión sobre el Fondo adoptada por el propio Comité Europeo de Derechos Sociales el 11 de septiembre de 2024</w:t>
      </w:r>
      <w:r w:rsidRPr="008711E4">
        <w:rPr>
          <w:rFonts w:ascii="Calibri" w:hAnsi="Calibri" w:cs="Calibri"/>
          <w:sz w:val="24"/>
          <w:szCs w:val="24"/>
        </w:rPr>
        <w:t xml:space="preserve"> —notificada el 25 de octubre de 2024 y hecha pública el 26 de febrero de 2025— en la </w:t>
      </w:r>
      <w:r w:rsidRPr="008711E4">
        <w:rPr>
          <w:rFonts w:ascii="Calibri" w:hAnsi="Calibri" w:cs="Calibri"/>
          <w:b/>
          <w:bCs/>
          <w:sz w:val="24"/>
          <w:szCs w:val="24"/>
        </w:rPr>
        <w:t xml:space="preserve">Reclamación Colectiva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206/2022</w:t>
      </w:r>
      <w:r w:rsidRPr="008711E4">
        <w:rPr>
          <w:rFonts w:ascii="Calibri" w:hAnsi="Calibri" w:cs="Calibri"/>
          <w:sz w:val="24"/>
          <w:szCs w:val="24"/>
        </w:rPr>
        <w:t xml:space="preserve"> (</w:t>
      </w:r>
      <w:proofErr w:type="spellStart"/>
      <w:r w:rsidRPr="008711E4">
        <w:rPr>
          <w:rFonts w:ascii="Calibri" w:hAnsi="Calibri" w:cs="Calibri"/>
          <w:i/>
          <w:iCs/>
          <w:sz w:val="24"/>
          <w:szCs w:val="24"/>
        </w:rPr>
        <w:t>Defence</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for</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Children</w:t>
      </w:r>
      <w:proofErr w:type="spellEnd"/>
      <w:r w:rsidRPr="008711E4">
        <w:rPr>
          <w:rFonts w:ascii="Calibri" w:hAnsi="Calibri" w:cs="Calibri"/>
          <w:i/>
          <w:iCs/>
          <w:sz w:val="24"/>
          <w:szCs w:val="24"/>
        </w:rPr>
        <w:t xml:space="preserve"> International, FEANTSA, MEDEL, CCOO y ATD Cuarto Mundo c. España</w:t>
      </w:r>
      <w:r w:rsidRPr="008711E4">
        <w:rPr>
          <w:rFonts w:ascii="Calibri" w:hAnsi="Calibri" w:cs="Calibri"/>
          <w:sz w:val="24"/>
          <w:szCs w:val="24"/>
        </w:rPr>
        <w:t xml:space="preserve">). Dicha Decisión declara probada, de forma específica y referida a los Sectores 5 y 6 de la Cañada Real Galiana —el mismo territorio afectado por la </w:t>
      </w:r>
      <w:r w:rsidR="008711E4">
        <w:rPr>
          <w:rFonts w:ascii="Calibri" w:hAnsi="Calibri" w:cs="Calibri"/>
          <w:sz w:val="24"/>
          <w:szCs w:val="24"/>
        </w:rPr>
        <w:t>R</w:t>
      </w:r>
      <w:r w:rsidRPr="008711E4">
        <w:rPr>
          <w:rFonts w:ascii="Calibri" w:hAnsi="Calibri" w:cs="Calibri"/>
          <w:sz w:val="24"/>
          <w:szCs w:val="24"/>
        </w:rPr>
        <w:t>esolución impugnada—, la violación por parte del Reino de España de los artículos 31§1 (vivienda), 16 (protección de la familia</w:t>
      </w:r>
      <w:r w:rsidR="008711E4">
        <w:rPr>
          <w:rFonts w:ascii="Calibri" w:hAnsi="Calibri" w:cs="Calibri"/>
          <w:sz w:val="24"/>
          <w:szCs w:val="24"/>
        </w:rPr>
        <w:t xml:space="preserve">, tanto en su vertiente de vivienda adecuada como en la de participación de </w:t>
      </w:r>
      <w:r w:rsidR="008711E4">
        <w:rPr>
          <w:rFonts w:ascii="Calibri" w:hAnsi="Calibri" w:cs="Calibri"/>
          <w:sz w:val="24"/>
          <w:szCs w:val="24"/>
        </w:rPr>
        <w:lastRenderedPageBreak/>
        <w:t>las asociaciones representativas en la toma de decisiones</w:t>
      </w:r>
      <w:r w:rsidRPr="008711E4">
        <w:rPr>
          <w:rFonts w:ascii="Calibri" w:hAnsi="Calibri" w:cs="Calibri"/>
          <w:sz w:val="24"/>
          <w:szCs w:val="24"/>
        </w:rPr>
        <w:t xml:space="preserve">), 11§1 y 11§3 (salud), 17§1 y 17§2 (infancia y educación), 30 (pobreza y exclusión social), 23 (personas mayores) y 15§3 (personas con discapacidad) de la Carta Social Europea. En cualquier caso, el artículo 10.2 de la Constitución </w:t>
      </w:r>
      <w:r w:rsidR="008711E4">
        <w:rPr>
          <w:rFonts w:ascii="Calibri" w:hAnsi="Calibri" w:cs="Calibri"/>
          <w:sz w:val="24"/>
          <w:szCs w:val="24"/>
        </w:rPr>
        <w:t xml:space="preserve">Española </w:t>
      </w:r>
      <w:r w:rsidRPr="008711E4">
        <w:rPr>
          <w:rFonts w:ascii="Calibri" w:hAnsi="Calibri" w:cs="Calibri"/>
          <w:sz w:val="24"/>
          <w:szCs w:val="24"/>
        </w:rPr>
        <w:t>establece que las normas relativas a derechos fundamentales deben interpretarse conforme a los tratados internacionales suscritos por España y el artículo 96 de la Constitución integra los tratados internacionales en el ordenamiento interno, por lo que España se encuentra obligada a actuar de buena fe respecto de sus compromisos internacionales.</w:t>
      </w:r>
    </w:p>
    <w:p w14:paraId="65BFA6F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completamente un pronunciamiento internacional que identifica una situación continuada de vulneración de derechos sociales precisamente respecto del territorio afectado por la actuación autorizada.</w:t>
      </w:r>
    </w:p>
    <w:p w14:paraId="047523B5" w14:textId="091162F1"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No se trata, por tanto, de una simple discrepancia sobre el valor jurídico de las decisiones de dicho Comité, cuestión ya zanjada por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 xml:space="preserve">mediante cita jurisprudencial genérica, sino de la omisión total y absoluta de la existencia de un pronunciamiento internacional firme, específico y sobrevenido, que llevaba más de un año siendo público a la fecha de la </w:t>
      </w:r>
      <w:r w:rsidR="008711E4">
        <w:rPr>
          <w:rFonts w:ascii="Calibri" w:hAnsi="Calibri" w:cs="Calibri"/>
          <w:sz w:val="24"/>
          <w:szCs w:val="24"/>
        </w:rPr>
        <w:t>R</w:t>
      </w:r>
      <w:r w:rsidRPr="008711E4">
        <w:rPr>
          <w:rFonts w:ascii="Calibri" w:hAnsi="Calibri" w:cs="Calibri"/>
          <w:sz w:val="24"/>
          <w:szCs w:val="24"/>
        </w:rPr>
        <w:t>esolución</w:t>
      </w:r>
      <w:r w:rsidR="008711E4">
        <w:rPr>
          <w:rFonts w:ascii="Calibri" w:hAnsi="Calibri" w:cs="Calibri"/>
          <w:sz w:val="24"/>
          <w:szCs w:val="24"/>
        </w:rPr>
        <w:t xml:space="preserve"> impugnada</w:t>
      </w:r>
      <w:r w:rsidRPr="008711E4">
        <w:rPr>
          <w:rFonts w:ascii="Calibri" w:hAnsi="Calibri" w:cs="Calibri"/>
          <w:sz w:val="24"/>
          <w:szCs w:val="24"/>
        </w:rPr>
        <w:t xml:space="preserve"> (4 de junio de 2026) y que resulta plenamente aplicable a los hechos objeto de este expediente.</w:t>
      </w:r>
    </w:p>
    <w:p w14:paraId="1CE77F4B" w14:textId="1810C39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Resolución impugnada</w:t>
      </w:r>
      <w:r w:rsidRPr="008711E4">
        <w:rPr>
          <w:rFonts w:ascii="Calibri" w:hAnsi="Calibri" w:cs="Calibri"/>
          <w:sz w:val="24"/>
          <w:szCs w:val="24"/>
        </w:rPr>
        <w:t>, en la medida en que obvia esta Resolución</w:t>
      </w:r>
      <w:r w:rsidR="008711E4">
        <w:rPr>
          <w:rFonts w:ascii="Calibri" w:hAnsi="Calibri" w:cs="Calibri"/>
          <w:sz w:val="24"/>
          <w:szCs w:val="24"/>
        </w:rPr>
        <w:t xml:space="preserve"> del Consejo de Europa</w:t>
      </w:r>
      <w:r w:rsidRPr="008711E4">
        <w:rPr>
          <w:rFonts w:ascii="Calibri" w:hAnsi="Calibri" w:cs="Calibri"/>
          <w:sz w:val="24"/>
          <w:szCs w:val="24"/>
        </w:rPr>
        <w:t xml:space="preserve"> y evita pronunciarse sobre el conflicto evidente que existe entre ambos pronunciamientos, está vulnerando el derecho a la tutela judicial efectiva, el principio de buena administración y el deber de motivación reforzada</w:t>
      </w:r>
      <w:r w:rsidR="00AE3B31" w:rsidRPr="008711E4">
        <w:rPr>
          <w:rFonts w:ascii="Calibri" w:hAnsi="Calibri" w:cs="Calibri"/>
          <w:sz w:val="24"/>
          <w:szCs w:val="24"/>
        </w:rPr>
        <w:t xml:space="preserve">. Asimismo, vulnera </w:t>
      </w:r>
      <w:r w:rsidRPr="008711E4">
        <w:rPr>
          <w:rFonts w:ascii="Calibri" w:hAnsi="Calibri" w:cs="Calibri"/>
          <w:sz w:val="24"/>
          <w:szCs w:val="24"/>
        </w:rPr>
        <w:t>el principio de cumplimiento de los Tratados Internacionales (artículo 96 de la Constitución</w:t>
      </w:r>
      <w:r w:rsidR="008711E4">
        <w:rPr>
          <w:rFonts w:ascii="Calibri" w:hAnsi="Calibri" w:cs="Calibri"/>
          <w:sz w:val="24"/>
          <w:szCs w:val="24"/>
        </w:rPr>
        <w:t xml:space="preserve"> Española</w:t>
      </w:r>
      <w:r w:rsidRPr="008711E4">
        <w:rPr>
          <w:rFonts w:ascii="Calibri" w:hAnsi="Calibri" w:cs="Calibri"/>
          <w:sz w:val="24"/>
          <w:szCs w:val="24"/>
        </w:rPr>
        <w:t xml:space="preserve">) porque, al margen de las consideraciones sobre si la Resolución europea es directamente vinculante o no, lo cierto es que la Resolución </w:t>
      </w:r>
      <w:r w:rsidR="008711E4">
        <w:rPr>
          <w:rFonts w:ascii="Calibri" w:hAnsi="Calibri" w:cs="Calibri"/>
          <w:sz w:val="24"/>
          <w:szCs w:val="24"/>
        </w:rPr>
        <w:t xml:space="preserve">sí </w:t>
      </w:r>
      <w:r w:rsidRPr="008711E4">
        <w:rPr>
          <w:rFonts w:ascii="Calibri" w:hAnsi="Calibri" w:cs="Calibri"/>
          <w:sz w:val="24"/>
          <w:szCs w:val="24"/>
        </w:rPr>
        <w:t xml:space="preserve">impone un deber de consideración específico para las administraciones afectadas en el ámbito de su pronunciamiento. </w:t>
      </w:r>
    </w:p>
    <w:p w14:paraId="780B1DFC" w14:textId="5D849A9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Esta ausencia hace a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nula por falta de motivación y por vulnerar la Carta Social Europea Revisada al defraudar conscientemente su sentido y sus pronunciamientos, evadiendo su debida consideración en la toma de decisiones que directamente están afectadas por ella.</w:t>
      </w:r>
    </w:p>
    <w:p w14:paraId="5D8A4029"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QUINTO.- Vulneración del principio de precaución y proporcionalidad.</w:t>
      </w:r>
    </w:p>
    <w:p w14:paraId="1BCC493A"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No consta evaluación suficiente de las consecuencias sociales, humanas y materiales derivadas del desmontaje o sustitución de elementos históricos de la red eléctrica.</w:t>
      </w:r>
    </w:p>
    <w:p w14:paraId="0721F1DE"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Tampoco se acredita inexistencia de alternativas menos lesivas, impacto acumulativo de las actuaciones proyectadas, garantías efectivas de mantenimiento o recuperación de condiciones de suministro e inexistencia de efectos irreversibles.</w:t>
      </w:r>
    </w:p>
    <w:p w14:paraId="3C48832D"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SEXTO.- Insuficiencia de la participación institucional y social.</w:t>
      </w:r>
    </w:p>
    <w:p w14:paraId="44DD31A9" w14:textId="4C2998E4"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extraordinaria relevancia territorial y humana de la actuación exigía solicitar informes y participación efectiva de organismos y entidades directamente vinculadas a la situación de Cañada Real, entre otros: el Comisionado del Gobierno de la Comunidad de Madrid para </w:t>
      </w:r>
      <w:r w:rsidRPr="008711E4">
        <w:rPr>
          <w:rFonts w:ascii="Calibri" w:hAnsi="Calibri" w:cs="Calibri"/>
          <w:sz w:val="24"/>
          <w:szCs w:val="24"/>
        </w:rPr>
        <w:lastRenderedPageBreak/>
        <w:t>la Cañada Real Galiana; el Defensor del Pueblo; el Ayuntamiento de Madrid; el Ayuntamiento de Rivas Vaciamadrid; y organismos de protección de la infancia y de las personas con discapacidad.</w:t>
      </w:r>
    </w:p>
    <w:p w14:paraId="74C6F1D7" w14:textId="065466C3"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Por otra parte, la propia </w:t>
      </w:r>
      <w:r w:rsidR="008711E4">
        <w:rPr>
          <w:rFonts w:ascii="Calibri" w:hAnsi="Calibri" w:cs="Calibri"/>
          <w:sz w:val="24"/>
          <w:szCs w:val="24"/>
        </w:rPr>
        <w:t>R</w:t>
      </w:r>
      <w:r w:rsidRPr="008711E4">
        <w:rPr>
          <w:rFonts w:ascii="Calibri" w:hAnsi="Calibri" w:cs="Calibri"/>
          <w:sz w:val="24"/>
          <w:szCs w:val="24"/>
        </w:rPr>
        <w:t xml:space="preserve">esolución impugnada señala que la autorización se concede </w:t>
      </w:r>
      <w:r w:rsidRPr="008711E4">
        <w:rPr>
          <w:rFonts w:ascii="Calibri" w:hAnsi="Calibri" w:cs="Calibri"/>
          <w:i/>
          <w:iCs/>
          <w:sz w:val="24"/>
          <w:szCs w:val="24"/>
        </w:rPr>
        <w:t>“sin perjuicio de los condicionantes que, según manifiesta la propia UFD Distribución Electricidad, S.A. [...], se derivasen de resoluciones judiciales que determinen el modo en que dicha distribuidora debe realizar la desconexión de las conexiones ilegales existentes”</w:t>
      </w:r>
      <w:r w:rsidRPr="008711E4">
        <w:rPr>
          <w:rFonts w:ascii="Calibri" w:hAnsi="Calibri" w:cs="Calibri"/>
          <w:sz w:val="24"/>
          <w:szCs w:val="24"/>
        </w:rPr>
        <w:t xml:space="preserve">. Dicha remisión resulta </w:t>
      </w:r>
      <w:r w:rsidRPr="008711E4">
        <w:rPr>
          <w:rFonts w:ascii="Calibri" w:hAnsi="Calibri" w:cs="Calibri"/>
          <w:b/>
          <w:bCs/>
          <w:sz w:val="24"/>
          <w:szCs w:val="24"/>
        </w:rPr>
        <w:t>genérica y carente de identificación</w:t>
      </w:r>
      <w:r w:rsidRPr="008711E4">
        <w:rPr>
          <w:rFonts w:ascii="Calibri" w:hAnsi="Calibri" w:cs="Calibri"/>
          <w:sz w:val="24"/>
          <w:szCs w:val="24"/>
        </w:rPr>
        <w:t>: no se cita número de procedimiento, órgano judicial ni fecha de resolución alguna, y además se traslada como una mera manifestación de la propia UFD en su escrito de respuesta a las alegaciones, sin que la Dirección General efectúe una valoración jurídica propia al respecto.</w:t>
      </w:r>
    </w:p>
    <w:p w14:paraId="0F38AFF5" w14:textId="300A4FC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 mayor abundamiento, debe destacarse que el propio criterio judicial sobre el ritmo de desconexión dispone que la red se desconectará al ritmo de los realojos que vayan realizando las administraciones. Como no podía ser de otra manera, la Justicia presupone que, mientras subsista población sin realojar en los Sectores 5 y 6, el suministro </w:t>
      </w:r>
      <w:r w:rsidR="008711E4">
        <w:rPr>
          <w:rFonts w:ascii="Calibri" w:hAnsi="Calibri" w:cs="Calibri"/>
          <w:sz w:val="24"/>
          <w:szCs w:val="24"/>
        </w:rPr>
        <w:t xml:space="preserve">eléctrico </w:t>
      </w:r>
      <w:r w:rsidRPr="008711E4">
        <w:rPr>
          <w:rFonts w:ascii="Calibri" w:hAnsi="Calibri" w:cs="Calibri"/>
          <w:sz w:val="24"/>
          <w:szCs w:val="24"/>
        </w:rPr>
        <w:t>debe mantenerse. Constando que a fecha de la Decisión del Comité Europeo de Derechos Sociales de 2024 la mayoría de las familias del Sector 6 continuaban y aún continúan sin ser realojadas, la persistencia del corte de suministro a dicha población no encuentra respaldo ni siquiera en el propio criterio judicial que la Administración invoca de forma genérica, sino que lo contradice.</w:t>
      </w:r>
    </w:p>
    <w:p w14:paraId="0CC2FE3B"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SÉPTIMO.- Insuficiencia de la declaración de utilidad pública.</w:t>
      </w:r>
    </w:p>
    <w:p w14:paraId="2F9FE810"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declaración de utilidad pública requiere una motivación específica sobre necesidad, proporcionalidad e interés general.</w:t>
      </w:r>
    </w:p>
    <w:p w14:paraId="2496845B" w14:textId="757B7A08"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se limita esencialmente a invocar de forma genérica la normativa sectorial sin justificar suficientemente por qué la actuación concreta responde efectivamente a dichos requisitos.</w:t>
      </w:r>
    </w:p>
    <w:p w14:paraId="3D60690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OCTAVO.-</w:t>
      </w:r>
      <w:r w:rsidRPr="008711E4">
        <w:rPr>
          <w:rFonts w:ascii="Calibri" w:hAnsi="Calibri" w:cs="Calibri"/>
          <w:sz w:val="24"/>
          <w:szCs w:val="24"/>
        </w:rPr>
        <w:t xml:space="preserve"> </w:t>
      </w:r>
      <w:r w:rsidRPr="008711E4">
        <w:rPr>
          <w:rFonts w:ascii="Calibri" w:hAnsi="Calibri" w:cs="Calibri"/>
          <w:b/>
          <w:bCs/>
          <w:sz w:val="24"/>
          <w:szCs w:val="24"/>
        </w:rPr>
        <w:t>Vulneración del Principio de Confianza Legítima y Tolerancia de Facto</w:t>
      </w:r>
    </w:p>
    <w:p w14:paraId="36AA26CE" w14:textId="08F2F2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que el asentamiento</w:t>
      </w:r>
      <w:r w:rsidR="008711E4">
        <w:rPr>
          <w:rFonts w:ascii="Calibri" w:hAnsi="Calibri" w:cs="Calibri"/>
          <w:sz w:val="24"/>
          <w:szCs w:val="24"/>
        </w:rPr>
        <w:t xml:space="preserve"> y construcción de viviendas </w:t>
      </w:r>
      <w:r w:rsidRPr="008711E4">
        <w:rPr>
          <w:rFonts w:ascii="Calibri" w:hAnsi="Calibri" w:cs="Calibri"/>
          <w:sz w:val="24"/>
          <w:szCs w:val="24"/>
        </w:rPr>
        <w:t>ha sido tolerado durante décadas</w:t>
      </w:r>
      <w:r w:rsidR="008711E4">
        <w:rPr>
          <w:rFonts w:ascii="Calibri" w:hAnsi="Calibri" w:cs="Calibri"/>
          <w:sz w:val="24"/>
          <w:szCs w:val="24"/>
        </w:rPr>
        <w:t>, dando lugar a una comunidad y un barrio con vecinas y vecinos que precisan de servicios básicos, como se recoge en el Acuerdo marco y posterior Pacto para Cañada Real Galiana</w:t>
      </w:r>
      <w:r w:rsidRPr="008711E4">
        <w:rPr>
          <w:rFonts w:ascii="Calibri" w:hAnsi="Calibri" w:cs="Calibri"/>
          <w:sz w:val="24"/>
          <w:szCs w:val="24"/>
        </w:rPr>
        <w:t>. El desmontaje de infraestructuras que han prestado servicio "durante décadas" (como reconoce el propio modelo) rompe la confianza legítima de l</w:t>
      </w:r>
      <w:r w:rsidR="008711E4">
        <w:rPr>
          <w:rFonts w:ascii="Calibri" w:hAnsi="Calibri" w:cs="Calibri"/>
          <w:sz w:val="24"/>
          <w:szCs w:val="24"/>
        </w:rPr>
        <w:t xml:space="preserve">a ciudadanía </w:t>
      </w:r>
      <w:r w:rsidRPr="008711E4">
        <w:rPr>
          <w:rFonts w:ascii="Calibri" w:hAnsi="Calibri" w:cs="Calibri"/>
          <w:sz w:val="24"/>
          <w:szCs w:val="24"/>
        </w:rPr>
        <w:t>en la continuidad de los servicios mínimos.</w:t>
      </w:r>
    </w:p>
    <w:p w14:paraId="389F90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Sentencia del Tribunal Constitucional 188/2013, de 4 de noviembre (recurso de amparo 3769-2012), dictada precisamente en relación con la Cañada Real Galiana y la Ley 2/2011, de 15 de marzo, recoge en su voto particular una doctrina esencial para este caso, con cita de la jurisprudencia del Tribunal Europeo de Derechos Humanos (casos </w:t>
      </w:r>
      <w:r w:rsidRPr="008711E4">
        <w:rPr>
          <w:rFonts w:ascii="Calibri" w:hAnsi="Calibri" w:cs="Calibri"/>
          <w:i/>
          <w:iCs/>
          <w:sz w:val="24"/>
          <w:szCs w:val="24"/>
        </w:rPr>
        <w:t>Yordanova y otros c. Bulgaria</w:t>
      </w:r>
      <w:r w:rsidRPr="008711E4">
        <w:rPr>
          <w:rFonts w:ascii="Calibri" w:hAnsi="Calibri" w:cs="Calibri"/>
          <w:sz w:val="24"/>
          <w:szCs w:val="24"/>
        </w:rPr>
        <w:t xml:space="preserve"> y </w:t>
      </w:r>
      <w:r w:rsidRPr="008711E4">
        <w:rPr>
          <w:rFonts w:ascii="Calibri" w:hAnsi="Calibri" w:cs="Calibri"/>
          <w:i/>
          <w:iCs/>
          <w:sz w:val="24"/>
          <w:szCs w:val="24"/>
        </w:rPr>
        <w:t>Winterstein y otros c. Francia</w:t>
      </w:r>
      <w:r w:rsidRPr="008711E4">
        <w:rPr>
          <w:rFonts w:ascii="Calibri" w:hAnsi="Calibri" w:cs="Calibri"/>
          <w:sz w:val="24"/>
          <w:szCs w:val="24"/>
        </w:rPr>
        <w:t>):</w:t>
      </w:r>
    </w:p>
    <w:p w14:paraId="5C883ACD"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lastRenderedPageBreak/>
        <w:t>«...resulta obligado valorar diversos factores, entre otros que la recuperación se refiera, en su caso, a terrenos cuya ocupación ha sido tolerada desde tiempo atrás; que existan o no otros medios para resolver el problema...»</w:t>
      </w:r>
    </w:p>
    <w:p w14:paraId="7144AEB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permitido la existencia de estas líneas y centros de transformación durante años. Su eliminación repentina, sin una alternativa habitacional o de suministro garantizada, contradice la doctrina del TEDH sobre asentamientos consolidados.</w:t>
      </w:r>
    </w:p>
    <w:p w14:paraId="72EFF0C1" w14:textId="77777777" w:rsidR="00244E30" w:rsidRPr="008711E4" w:rsidRDefault="00244E30" w:rsidP="00244E30">
      <w:pPr>
        <w:rPr>
          <w:rFonts w:ascii="Calibri" w:hAnsi="Calibri" w:cs="Calibri"/>
          <w:sz w:val="24"/>
          <w:szCs w:val="24"/>
        </w:rPr>
      </w:pPr>
      <w:r w:rsidRPr="008711E4">
        <w:rPr>
          <w:rFonts w:ascii="Calibri" w:hAnsi="Calibri" w:cs="Calibri"/>
          <w:b/>
          <w:bCs/>
          <w:sz w:val="24"/>
          <w:szCs w:val="24"/>
        </w:rPr>
        <w:t>NOVENO.- Desviación de poder y denominación engañosa.</w:t>
      </w:r>
    </w:p>
    <w:p w14:paraId="79F41E8F" w14:textId="32585CC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describe la actuación en términos de "mejora", cuando el efecto material es el desmontaje y "desinstalación". Esto puede constituir una desviación de poder (usar una potestad administrativa para un fin distinto del previsto).</w:t>
      </w:r>
    </w:p>
    <w:p w14:paraId="25455D4B" w14:textId="08BAC8A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potestad de autorizar instalaciones eléctricas (</w:t>
      </w:r>
      <w:r w:rsidR="008711E4">
        <w:rPr>
          <w:rFonts w:ascii="Calibri" w:hAnsi="Calibri" w:cs="Calibri"/>
          <w:sz w:val="24"/>
          <w:szCs w:val="24"/>
        </w:rPr>
        <w:t>artículo</w:t>
      </w:r>
      <w:r w:rsidRPr="008711E4">
        <w:rPr>
          <w:rFonts w:ascii="Calibri" w:hAnsi="Calibri" w:cs="Calibri"/>
          <w:sz w:val="24"/>
          <w:szCs w:val="24"/>
        </w:rPr>
        <w:t xml:space="preserve"> 53 Ley 24/2013) se está utilizando para desmantelar la red preexistente en un sector en conflicto social, eludiendo el procedimiento de realojo o regularización previsto en la Ley 2/2011, de 15 de marzo, de la Cañada Real Galiana.</w:t>
      </w:r>
    </w:p>
    <w:p w14:paraId="7118DE22"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DÉCIMO.- Afectación a derechos fundamentales (inviolabilidad del domicilio y otros).</w:t>
      </w:r>
    </w:p>
    <w:p w14:paraId="620EC10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jurisprudencia reciente exige medidas concretas antes de cualquier acto que suponga un desalojo o cese de uso de servicios esenciales.</w:t>
      </w:r>
    </w:p>
    <w:p w14:paraId="6B0FFAFD"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Como indica el Tribunal Superior de Justicia (Roj: STSJ M 8050:2025):</w:t>
      </w:r>
    </w:p>
    <w:p w14:paraId="5F1CA6C2"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t>«...la Administración debe comunicarle en el momento de solicitar la autorización qué medidas adopta para paliar en lo posible las consecuencias perjudiciales del desalojo para las personas vulnerables, especialmente menores.»</w:t>
      </w:r>
    </w:p>
    <w:p w14:paraId="69363B10" w14:textId="4849B402"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 bien la </w:t>
      </w:r>
      <w:r w:rsidR="008711E4">
        <w:rPr>
          <w:rFonts w:ascii="Calibri" w:hAnsi="Calibri" w:cs="Calibri"/>
          <w:sz w:val="24"/>
          <w:szCs w:val="24"/>
        </w:rPr>
        <w:t>R</w:t>
      </w:r>
      <w:r w:rsidRPr="008711E4">
        <w:rPr>
          <w:rFonts w:ascii="Calibri" w:hAnsi="Calibri" w:cs="Calibri"/>
          <w:sz w:val="24"/>
          <w:szCs w:val="24"/>
        </w:rPr>
        <w:t>esolución impugnada no constituye formalmente un "desalojo" físico, el desmontaje de la red eléctrica que da soporte a las viviendas de la zona produce un efecto equivalente sobre el acceso a un servicio esencia</w:t>
      </w:r>
      <w:r w:rsidR="00AE3B31" w:rsidRPr="008711E4">
        <w:rPr>
          <w:rFonts w:ascii="Calibri" w:hAnsi="Calibri" w:cs="Calibri"/>
          <w:sz w:val="24"/>
          <w:szCs w:val="24"/>
        </w:rPr>
        <w:t>l</w:t>
      </w:r>
      <w:r w:rsidRPr="008711E4">
        <w:rPr>
          <w:rFonts w:ascii="Calibri" w:hAnsi="Calibri" w:cs="Calibri"/>
          <w:sz w:val="24"/>
          <w:szCs w:val="24"/>
        </w:rPr>
        <w:t>, que exigiría a la Administración adoptar medidas paliativas simultáneas, las cuales no constan en el expediente administrativo.</w:t>
      </w:r>
    </w:p>
    <w:p w14:paraId="6084C5CD"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UNDÉCIMO.- Inexistencia de medidas paliativas para colectivos de especial protección</w:t>
      </w:r>
      <w:r w:rsidRPr="008711E4">
        <w:rPr>
          <w:rFonts w:ascii="Calibri" w:hAnsi="Calibri" w:cs="Calibri"/>
          <w:sz w:val="24"/>
          <w:szCs w:val="24"/>
        </w:rPr>
        <w:t xml:space="preserve">. </w:t>
      </w:r>
    </w:p>
    <w:p w14:paraId="60A54660" w14:textId="6D3A9A37" w:rsidR="00244E30" w:rsidRPr="008711E4" w:rsidRDefault="00244E30" w:rsidP="00244E30">
      <w:pPr>
        <w:jc w:val="both"/>
        <w:rPr>
          <w:rFonts w:ascii="Calibri" w:hAnsi="Calibri" w:cs="Calibri"/>
          <w:sz w:val="24"/>
          <w:szCs w:val="24"/>
        </w:rPr>
      </w:pPr>
      <w:r w:rsidRPr="00A645D2">
        <w:rPr>
          <w:rFonts w:ascii="Calibri" w:hAnsi="Calibri" w:cs="Calibri"/>
          <w:b/>
          <w:bCs/>
          <w:sz w:val="24"/>
          <w:szCs w:val="24"/>
        </w:rPr>
        <w:t xml:space="preserve">Consta en el Sector </w:t>
      </w:r>
      <w:r w:rsidR="00943946">
        <w:rPr>
          <w:rFonts w:ascii="Calibri" w:hAnsi="Calibri" w:cs="Calibri"/>
          <w:b/>
          <w:bCs/>
          <w:sz w:val="24"/>
          <w:szCs w:val="24"/>
        </w:rPr>
        <w:t>5</w:t>
      </w:r>
      <w:r w:rsidRPr="00A645D2">
        <w:rPr>
          <w:rFonts w:ascii="Calibri" w:hAnsi="Calibri" w:cs="Calibri"/>
          <w:b/>
          <w:bCs/>
          <w:sz w:val="24"/>
          <w:szCs w:val="24"/>
        </w:rPr>
        <w:t xml:space="preserve"> la presencia de numeros</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a</w:t>
      </w:r>
      <w:r w:rsidRPr="00A645D2">
        <w:rPr>
          <w:rFonts w:ascii="Calibri" w:hAnsi="Calibri" w:cs="Calibri"/>
          <w:b/>
          <w:bCs/>
          <w:sz w:val="24"/>
          <w:szCs w:val="24"/>
        </w:rPr>
        <w:t>s y adolescentes y personas con discapacidad.</w:t>
      </w:r>
      <w:r w:rsidRPr="008711E4">
        <w:rPr>
          <w:rFonts w:ascii="Calibri" w:hAnsi="Calibri" w:cs="Calibri"/>
          <w:sz w:val="24"/>
          <w:szCs w:val="24"/>
        </w:rPr>
        <w:t xml:space="preserve"> La </w:t>
      </w:r>
      <w:r w:rsidR="008711E4">
        <w:rPr>
          <w:rFonts w:ascii="Calibri" w:hAnsi="Calibri" w:cs="Calibri"/>
          <w:sz w:val="24"/>
          <w:szCs w:val="24"/>
        </w:rPr>
        <w:t>R</w:t>
      </w:r>
      <w:r w:rsidRPr="008711E4">
        <w:rPr>
          <w:rFonts w:ascii="Calibri" w:hAnsi="Calibri" w:cs="Calibri"/>
          <w:sz w:val="24"/>
          <w:szCs w:val="24"/>
        </w:rPr>
        <w:t>esolución impugnada autoriza el desmontaje de elementos de red sin que conste en el expediente un informe de impacto social o la previsión de medidas para garantizar que estas personas no queden en situación de riesgo vital por falta de suministro, vulnerando el interés superior de</w:t>
      </w:r>
      <w:r w:rsidR="008711E4">
        <w:rPr>
          <w:rFonts w:ascii="Calibri" w:hAnsi="Calibri" w:cs="Calibri"/>
          <w:sz w:val="24"/>
          <w:szCs w:val="24"/>
        </w:rPr>
        <w:t xml:space="preserve"> la infancia </w:t>
      </w:r>
      <w:r w:rsidRPr="008711E4">
        <w:rPr>
          <w:rFonts w:ascii="Calibri" w:hAnsi="Calibri" w:cs="Calibri"/>
          <w:sz w:val="24"/>
          <w:szCs w:val="24"/>
        </w:rPr>
        <w:t xml:space="preserve">(artículo 39 Constitución </w:t>
      </w:r>
      <w:r w:rsidR="008711E4">
        <w:rPr>
          <w:rFonts w:ascii="Calibri" w:hAnsi="Calibri" w:cs="Calibri"/>
          <w:sz w:val="24"/>
          <w:szCs w:val="24"/>
        </w:rPr>
        <w:t xml:space="preserve">Española </w:t>
      </w:r>
      <w:r w:rsidRPr="008711E4">
        <w:rPr>
          <w:rFonts w:ascii="Calibri" w:hAnsi="Calibri" w:cs="Calibri"/>
          <w:sz w:val="24"/>
          <w:szCs w:val="24"/>
        </w:rPr>
        <w:t xml:space="preserve">y </w:t>
      </w:r>
      <w:r w:rsidR="00AE3B31" w:rsidRPr="008711E4">
        <w:rPr>
          <w:rFonts w:ascii="Calibri" w:hAnsi="Calibri" w:cs="Calibri"/>
          <w:sz w:val="24"/>
          <w:szCs w:val="24"/>
        </w:rPr>
        <w:t xml:space="preserve">Ley Orgánica </w:t>
      </w:r>
      <w:r w:rsidR="008711E4">
        <w:rPr>
          <w:rFonts w:ascii="Calibri" w:hAnsi="Calibri" w:cs="Calibri"/>
          <w:sz w:val="24"/>
          <w:szCs w:val="24"/>
        </w:rPr>
        <w:t xml:space="preserve">1/1996 </w:t>
      </w:r>
      <w:r w:rsidR="00AE3B31" w:rsidRPr="008711E4">
        <w:rPr>
          <w:rFonts w:ascii="Calibri" w:hAnsi="Calibri" w:cs="Calibri"/>
          <w:sz w:val="24"/>
          <w:szCs w:val="24"/>
        </w:rPr>
        <w:t>de Protección Jurídica del Menor</w:t>
      </w:r>
      <w:r w:rsidR="008711E4">
        <w:rPr>
          <w:rFonts w:ascii="Calibri" w:hAnsi="Calibri" w:cs="Calibri"/>
          <w:sz w:val="24"/>
          <w:szCs w:val="24"/>
        </w:rPr>
        <w:t>)</w:t>
      </w:r>
      <w:r w:rsidR="00AE3B31" w:rsidRPr="008711E4">
        <w:rPr>
          <w:rFonts w:ascii="Calibri" w:hAnsi="Calibri" w:cs="Calibri"/>
          <w:sz w:val="24"/>
          <w:szCs w:val="24"/>
        </w:rPr>
        <w:t xml:space="preserve"> </w:t>
      </w:r>
      <w:r w:rsidRPr="008711E4">
        <w:rPr>
          <w:rFonts w:ascii="Calibri" w:hAnsi="Calibri" w:cs="Calibri"/>
          <w:sz w:val="24"/>
          <w:szCs w:val="24"/>
        </w:rPr>
        <w:t>y el derecho a la accesibilidad universal.</w:t>
      </w:r>
    </w:p>
    <w:p w14:paraId="3F89C936"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DUODÉCIMO.-</w:t>
      </w:r>
      <w:r w:rsidRPr="008711E4">
        <w:rPr>
          <w:rFonts w:ascii="Calibri" w:hAnsi="Calibri" w:cs="Calibri"/>
          <w:sz w:val="24"/>
          <w:szCs w:val="24"/>
        </w:rPr>
        <w:t xml:space="preserve"> Los propios tribunales españoles han señalado que la solución de este conflicto corresponde a la Administración, no a la vía penal.</w:t>
      </w:r>
    </w:p>
    <w:p w14:paraId="23F8EB8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Resulta especialmente relevante que los órganos judiciales que han conocido de los hechos relacionados con el corte de suministro eléctrico en los Sectores 5 y 6 de la Cañada </w:t>
      </w:r>
      <w:r w:rsidRPr="008711E4">
        <w:rPr>
          <w:rFonts w:ascii="Calibri" w:hAnsi="Calibri" w:cs="Calibri"/>
          <w:sz w:val="24"/>
          <w:szCs w:val="24"/>
        </w:rPr>
        <w:lastRenderedPageBreak/>
        <w:t>Real han señalado, de forma reiterada, que la solución del problema excede el ámbito de sus competencias y corresponde a la Administración Pública.</w:t>
      </w:r>
    </w:p>
    <w:p w14:paraId="1F700B0F"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Así, el Auto de la Audiencia Provincial de Madrid (Sección 16ª) de 26 de mayo de 2021 (Auto 409/2021), recaído en las Diligencias Previas 2163/2020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señala que nos hallamos ante “un grave problema social, con repercusión en colectivos vulnerables”, cuya solución “no puede abordarse a golpe de Código Penal”.</w:t>
      </w:r>
    </w:p>
    <w:p w14:paraId="28650BB4"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En el mismo sentido, el Auto 599/2023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de 24 de marzo de 2023, que acordó el sobreseimiento definitivo de dicha causa, concluye expresamente que “el grave problema social surtido en dichos dos Sectores de la Cañada Real [...] debe obtener la pertinente respuesta de la Administración Pública, tratándose [...] de una problemática social ajena al presente procedimiento penal”.</w:t>
      </w:r>
    </w:p>
    <w:p w14:paraId="477EB648" w14:textId="77777777" w:rsidR="00244E30" w:rsidRDefault="00244E30" w:rsidP="00244E30">
      <w:pPr>
        <w:jc w:val="both"/>
        <w:rPr>
          <w:rFonts w:ascii="Calibri" w:hAnsi="Calibri" w:cs="Calibri"/>
          <w:sz w:val="24"/>
          <w:szCs w:val="24"/>
        </w:rPr>
      </w:pPr>
      <w:r w:rsidRPr="008711E4">
        <w:rPr>
          <w:rFonts w:ascii="Calibri" w:hAnsi="Calibri" w:cs="Calibri"/>
          <w:sz w:val="24"/>
          <w:szCs w:val="24"/>
        </w:rPr>
        <w:t>La Administración no puede, por tanto, ampararse en la existencia de causas judiciales relacionadas con el corte de suministro para justificar su inacción o para eludir una valoración propia y motivada de la situación, cuando son los propios órganos judiciales quienes han declarado que la resolución del conflicto les es ajena y compete a la Administración.</w:t>
      </w:r>
    </w:p>
    <w:p w14:paraId="327407EF" w14:textId="7519B8E4" w:rsidR="006926DB" w:rsidRPr="008711E4" w:rsidRDefault="006926DB" w:rsidP="00244E30">
      <w:pPr>
        <w:jc w:val="both"/>
        <w:rPr>
          <w:rFonts w:ascii="Calibri" w:hAnsi="Calibri" w:cs="Calibri"/>
          <w:sz w:val="24"/>
          <w:szCs w:val="24"/>
        </w:rPr>
      </w:pPr>
      <w:r>
        <w:rPr>
          <w:rFonts w:ascii="Calibri" w:hAnsi="Calibri" w:cs="Calibri"/>
          <w:sz w:val="24"/>
          <w:szCs w:val="24"/>
        </w:rPr>
        <w:t>Por todo lo anterior,</w:t>
      </w:r>
    </w:p>
    <w:p w14:paraId="6323C35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SOLICITA</w:t>
      </w:r>
      <w:r w:rsidRPr="008711E4">
        <w:rPr>
          <w:rFonts w:ascii="Calibri" w:hAnsi="Calibri" w:cs="Calibri"/>
          <w:sz w:val="24"/>
          <w:szCs w:val="24"/>
        </w:rPr>
        <w:t xml:space="preserve"> que se admita este recurso de alzada y en su virtud:</w:t>
      </w:r>
    </w:p>
    <w:p w14:paraId="6E09E2FA" w14:textId="68E83C20"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PRIMERO.-</w:t>
      </w:r>
      <w:r w:rsidRPr="008711E4">
        <w:rPr>
          <w:rFonts w:ascii="Calibri" w:hAnsi="Calibri" w:cs="Calibri"/>
          <w:sz w:val="24"/>
          <w:szCs w:val="24"/>
        </w:rPr>
        <w:t xml:space="preserve"> Se acuerde la suspensión cautelar de la eficacia de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impugnada</w:t>
      </w:r>
      <w:r w:rsidRPr="008711E4">
        <w:rPr>
          <w:rFonts w:ascii="Calibri" w:hAnsi="Calibri" w:cs="Calibri"/>
          <w:sz w:val="24"/>
          <w:szCs w:val="24"/>
        </w:rPr>
        <w:t xml:space="preserve"> al amparo del artículo 117 de la Ley 39/2015, dada la posibilidad de perjuicios irreparables o de difícil reparación derivados de la ejecución de las actuaciones autorizadas.</w:t>
      </w:r>
    </w:p>
    <w:p w14:paraId="0C559320"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SEGUNDO.-</w:t>
      </w:r>
      <w:r w:rsidRPr="008711E4">
        <w:rPr>
          <w:rFonts w:ascii="Calibri" w:hAnsi="Calibri" w:cs="Calibri"/>
          <w:sz w:val="24"/>
          <w:szCs w:val="24"/>
        </w:rPr>
        <w:t xml:space="preserve"> Se declare la nulidad o subsidiariamente anulabilidad de la Resolución impugnada.</w:t>
      </w:r>
    </w:p>
    <w:p w14:paraId="49F9E14E"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TERCERO.-</w:t>
      </w:r>
      <w:r w:rsidRPr="008711E4">
        <w:rPr>
          <w:rFonts w:ascii="Calibri" w:hAnsi="Calibri" w:cs="Calibri"/>
          <w:sz w:val="24"/>
          <w:szCs w:val="24"/>
        </w:rPr>
        <w:t xml:space="preserve"> Se dé traslado del expediente y de este recurso a las instituciones cuya intervención resulta pertinente dada la magnitud de la actuación y su potencial impacto social, en particular: Defensor del Pueblo; organismos responsables del seguimiento de obligaciones internacionales asumidas por España,</w:t>
      </w:r>
      <w:r w:rsidRPr="008711E4">
        <w:rPr>
          <w:rFonts w:ascii="Calibri" w:eastAsia="Times New Roman" w:hAnsi="Calibri" w:cs="Calibri"/>
          <w:sz w:val="24"/>
          <w:szCs w:val="24"/>
          <w:lang w:eastAsia="es-ES_tradnl"/>
        </w:rPr>
        <w:t xml:space="preserve"> </w:t>
      </w:r>
      <w:r w:rsidRPr="008711E4">
        <w:rPr>
          <w:rFonts w:ascii="Calibri" w:hAnsi="Calibri" w:cs="Calibri"/>
          <w:sz w:val="24"/>
          <w:szCs w:val="24"/>
        </w:rPr>
        <w:t xml:space="preserve">en particular en relación con la Decisión sobre el Fondo del Comité Europeo de Derechos Sociales en la Reclamación Colectiva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206/2022.</w:t>
      </w:r>
    </w:p>
    <w:p w14:paraId="12454D66" w14:textId="5A0E5068" w:rsidR="00244E30" w:rsidRDefault="00244E30" w:rsidP="00244E30">
      <w:pPr>
        <w:rPr>
          <w:rFonts w:ascii="Calibri" w:hAnsi="Calibri" w:cs="Calibri"/>
          <w:sz w:val="24"/>
          <w:szCs w:val="24"/>
        </w:rPr>
      </w:pPr>
      <w:r w:rsidRPr="008711E4">
        <w:rPr>
          <w:rFonts w:ascii="Calibri" w:hAnsi="Calibri" w:cs="Calibri"/>
          <w:sz w:val="24"/>
          <w:szCs w:val="24"/>
        </w:rPr>
        <w:t xml:space="preserve">En Madrid, a </w:t>
      </w:r>
      <w:r w:rsidR="008711E4">
        <w:rPr>
          <w:rFonts w:ascii="Calibri" w:hAnsi="Calibri" w:cs="Calibri"/>
          <w:sz w:val="24"/>
          <w:szCs w:val="24"/>
        </w:rPr>
        <w:t>9</w:t>
      </w:r>
      <w:r w:rsidRPr="008711E4">
        <w:rPr>
          <w:rFonts w:ascii="Calibri" w:hAnsi="Calibri" w:cs="Calibri"/>
          <w:sz w:val="24"/>
          <w:szCs w:val="24"/>
        </w:rPr>
        <w:t xml:space="preserve"> de julio de 2026.</w:t>
      </w:r>
    </w:p>
    <w:p w14:paraId="7F688462" w14:textId="77777777" w:rsidR="006926DB" w:rsidRDefault="006926DB" w:rsidP="00244E30">
      <w:pPr>
        <w:rPr>
          <w:rFonts w:ascii="Calibri" w:hAnsi="Calibri" w:cs="Calibri"/>
          <w:sz w:val="24"/>
          <w:szCs w:val="24"/>
        </w:rPr>
      </w:pPr>
    </w:p>
    <w:p w14:paraId="3E590BC7" w14:textId="77777777" w:rsidR="006926DB" w:rsidRPr="008711E4" w:rsidRDefault="006926DB" w:rsidP="00244E30">
      <w:pPr>
        <w:rPr>
          <w:rFonts w:ascii="Calibri" w:hAnsi="Calibri" w:cs="Calibri"/>
          <w:sz w:val="24"/>
          <w:szCs w:val="24"/>
        </w:rPr>
      </w:pPr>
    </w:p>
    <w:p w14:paraId="102CFD22" w14:textId="0E6BBDC2" w:rsidR="00244E30" w:rsidRPr="008711E4" w:rsidRDefault="00244E30" w:rsidP="00244E30">
      <w:pPr>
        <w:rPr>
          <w:rFonts w:ascii="Calibri" w:hAnsi="Calibri" w:cs="Calibri"/>
          <w:sz w:val="24"/>
          <w:szCs w:val="24"/>
        </w:rPr>
      </w:pPr>
      <w:r w:rsidRPr="008711E4">
        <w:rPr>
          <w:rFonts w:ascii="Calibri" w:hAnsi="Calibri" w:cs="Calibri"/>
          <w:sz w:val="24"/>
          <w:szCs w:val="24"/>
        </w:rPr>
        <w:t>Fdo.:</w:t>
      </w:r>
    </w:p>
    <w:p w14:paraId="61E7561A" w14:textId="77777777" w:rsidR="00284888" w:rsidRPr="008711E4" w:rsidRDefault="00284888">
      <w:pPr>
        <w:rPr>
          <w:rFonts w:ascii="Calibri" w:hAnsi="Calibri" w:cs="Calibri"/>
          <w:sz w:val="24"/>
          <w:szCs w:val="24"/>
        </w:rPr>
      </w:pPr>
    </w:p>
    <w:sectPr w:rsidR="00284888" w:rsidRPr="008711E4" w:rsidSect="008711E4">
      <w:footerReference w:type="even" r:id="rId7"/>
      <w:footerReference w:type="default" r:id="rId8"/>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6012" w14:textId="77777777" w:rsidR="0070292C" w:rsidRDefault="0070292C" w:rsidP="008711E4">
      <w:pPr>
        <w:spacing w:after="0" w:line="240" w:lineRule="auto"/>
      </w:pPr>
      <w:r>
        <w:separator/>
      </w:r>
    </w:p>
  </w:endnote>
  <w:endnote w:type="continuationSeparator" w:id="0">
    <w:p w14:paraId="6B623BC0" w14:textId="77777777" w:rsidR="0070292C" w:rsidRDefault="0070292C" w:rsidP="0087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11051170"/>
      <w:docPartObj>
        <w:docPartGallery w:val="Page Numbers (Bottom of Page)"/>
        <w:docPartUnique/>
      </w:docPartObj>
    </w:sdtPr>
    <w:sdtContent>
      <w:p w14:paraId="040C9378" w14:textId="28CEA89B"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0E7B4B6" w14:textId="77777777" w:rsidR="008711E4" w:rsidRDefault="008711E4" w:rsidP="008711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38681008"/>
      <w:docPartObj>
        <w:docPartGallery w:val="Page Numbers (Bottom of Page)"/>
        <w:docPartUnique/>
      </w:docPartObj>
    </w:sdtPr>
    <w:sdtContent>
      <w:p w14:paraId="74DC6E95" w14:textId="456C9EC5"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0C535B26" w14:textId="77777777" w:rsidR="008711E4" w:rsidRDefault="008711E4" w:rsidP="008711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F423" w14:textId="77777777" w:rsidR="0070292C" w:rsidRDefault="0070292C" w:rsidP="008711E4">
      <w:pPr>
        <w:spacing w:after="0" w:line="240" w:lineRule="auto"/>
      </w:pPr>
      <w:r>
        <w:separator/>
      </w:r>
    </w:p>
  </w:footnote>
  <w:footnote w:type="continuationSeparator" w:id="0">
    <w:p w14:paraId="01BCF76D" w14:textId="77777777" w:rsidR="0070292C" w:rsidRDefault="0070292C" w:rsidP="00871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30"/>
    <w:rsid w:val="000361D3"/>
    <w:rsid w:val="000E7925"/>
    <w:rsid w:val="00244E30"/>
    <w:rsid w:val="00267903"/>
    <w:rsid w:val="00284888"/>
    <w:rsid w:val="0052207D"/>
    <w:rsid w:val="005445AE"/>
    <w:rsid w:val="00613229"/>
    <w:rsid w:val="006926DB"/>
    <w:rsid w:val="0070292C"/>
    <w:rsid w:val="008156D4"/>
    <w:rsid w:val="00825892"/>
    <w:rsid w:val="008711E4"/>
    <w:rsid w:val="00943946"/>
    <w:rsid w:val="00A645D2"/>
    <w:rsid w:val="00AE3B31"/>
    <w:rsid w:val="00BA3CE1"/>
    <w:rsid w:val="00BE2B56"/>
    <w:rsid w:val="00BF1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CC4F"/>
  <w15:chartTrackingRefBased/>
  <w15:docId w15:val="{82D95B0F-12FF-F043-9AC7-CFDE20D0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30"/>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244E3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244E3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244E30"/>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244E30"/>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244E30"/>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244E30"/>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244E30"/>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244E30"/>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244E30"/>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E30"/>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44E30"/>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44E30"/>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44E30"/>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44E30"/>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44E30"/>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44E30"/>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44E30"/>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44E30"/>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44E30"/>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244E30"/>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44E30"/>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244E30"/>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44E30"/>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244E30"/>
    <w:rPr>
      <w:i/>
      <w:iCs/>
      <w:color w:val="404040" w:themeColor="text1" w:themeTint="BF"/>
      <w:lang w:val="es-ES_tradnl"/>
    </w:rPr>
  </w:style>
  <w:style w:type="paragraph" w:styleId="Prrafodelista">
    <w:name w:val="List Paragraph"/>
    <w:basedOn w:val="Normal"/>
    <w:uiPriority w:val="34"/>
    <w:qFormat/>
    <w:rsid w:val="00244E30"/>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244E30"/>
    <w:rPr>
      <w:i/>
      <w:iCs/>
      <w:color w:val="0F4761" w:themeColor="accent1" w:themeShade="BF"/>
    </w:rPr>
  </w:style>
  <w:style w:type="paragraph" w:styleId="Citadestacada">
    <w:name w:val="Intense Quote"/>
    <w:basedOn w:val="Normal"/>
    <w:next w:val="Normal"/>
    <w:link w:val="CitadestacadaCar"/>
    <w:uiPriority w:val="30"/>
    <w:qFormat/>
    <w:rsid w:val="00244E3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244E30"/>
    <w:rPr>
      <w:i/>
      <w:iCs/>
      <w:color w:val="0F4761" w:themeColor="accent1" w:themeShade="BF"/>
      <w:lang w:val="es-ES_tradnl"/>
    </w:rPr>
  </w:style>
  <w:style w:type="character" w:styleId="Referenciaintensa">
    <w:name w:val="Intense Reference"/>
    <w:basedOn w:val="Fuentedeprrafopredeter"/>
    <w:uiPriority w:val="32"/>
    <w:qFormat/>
    <w:rsid w:val="00244E30"/>
    <w:rPr>
      <w:b/>
      <w:bCs/>
      <w:smallCaps/>
      <w:color w:val="0F4761" w:themeColor="accent1" w:themeShade="BF"/>
      <w:spacing w:val="5"/>
    </w:rPr>
  </w:style>
  <w:style w:type="paragraph" w:styleId="Piedepgina">
    <w:name w:val="footer"/>
    <w:basedOn w:val="Normal"/>
    <w:link w:val="PiedepginaCar"/>
    <w:uiPriority w:val="99"/>
    <w:unhideWhenUsed/>
    <w:rsid w:val="008711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11E4"/>
    <w:rPr>
      <w:kern w:val="0"/>
      <w:sz w:val="22"/>
      <w:szCs w:val="22"/>
      <w14:ligatures w14:val="none"/>
    </w:rPr>
  </w:style>
  <w:style w:type="character" w:styleId="Nmerodepgina">
    <w:name w:val="page number"/>
    <w:basedOn w:val="Fuentedeprrafopredeter"/>
    <w:uiPriority w:val="99"/>
    <w:semiHidden/>
    <w:unhideWhenUsed/>
    <w:rsid w:val="008711E4"/>
  </w:style>
  <w:style w:type="paragraph" w:styleId="Encabezado">
    <w:name w:val="header"/>
    <w:basedOn w:val="Normal"/>
    <w:link w:val="EncabezadoCar"/>
    <w:uiPriority w:val="99"/>
    <w:unhideWhenUsed/>
    <w:rsid w:val="008711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11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1B7F-7009-5D4F-B2AC-98C710AA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2482</Words>
  <Characters>14098</Characters>
  <Application>Microsoft Office Word</Application>
  <DocSecurity>0</DocSecurity>
  <Lines>247</Lines>
  <Paragraphs>75</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LuzParaCañada</dc:creator>
  <cp:keywords/>
  <dc:description/>
  <cp:lastModifiedBy>LuzParaCañada</cp:lastModifiedBy>
  <cp:revision>1</cp:revision>
  <dcterms:created xsi:type="dcterms:W3CDTF">2026-07-09T00:00:00Z</dcterms:created>
  <dcterms:modified xsi:type="dcterms:W3CDTF">2026-07-09T00:00:00Z</dcterms:modified>
</cp:coreProperties>
</file>